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1A" w:rsidRDefault="007D732A">
      <w:pPr>
        <w:ind w:firstLine="5103"/>
        <w:rPr>
          <w:sz w:val="22"/>
        </w:rPr>
      </w:pPr>
      <w:r>
        <w:rPr>
          <w:sz w:val="22"/>
        </w:rPr>
        <w:t>Приложение № 10</w:t>
      </w:r>
    </w:p>
    <w:p w:rsidR="006A631A" w:rsidRDefault="007D732A">
      <w:pPr>
        <w:ind w:firstLine="5103"/>
        <w:rPr>
          <w:sz w:val="22"/>
        </w:rPr>
      </w:pPr>
      <w:r>
        <w:rPr>
          <w:sz w:val="22"/>
        </w:rPr>
        <w:t xml:space="preserve">к Порядку проведения </w:t>
      </w:r>
    </w:p>
    <w:p w:rsidR="006A631A" w:rsidRDefault="003334DC">
      <w:pPr>
        <w:ind w:firstLine="5103"/>
        <w:rPr>
          <w:sz w:val="22"/>
        </w:rPr>
      </w:pPr>
      <w:r>
        <w:rPr>
          <w:sz w:val="22"/>
        </w:rPr>
        <w:t>финансовым отделом</w:t>
      </w:r>
    </w:p>
    <w:p w:rsidR="006A631A" w:rsidRDefault="003334DC">
      <w:pPr>
        <w:ind w:firstLine="5103"/>
        <w:rPr>
          <w:sz w:val="22"/>
        </w:rPr>
      </w:pPr>
      <w:r>
        <w:rPr>
          <w:sz w:val="22"/>
        </w:rPr>
        <w:t>Администрации Орловского района</w:t>
      </w:r>
      <w:r w:rsidR="007D732A">
        <w:rPr>
          <w:sz w:val="22"/>
        </w:rPr>
        <w:t xml:space="preserve"> </w:t>
      </w:r>
    </w:p>
    <w:p w:rsidR="006A631A" w:rsidRDefault="003334DC">
      <w:pPr>
        <w:ind w:firstLine="5103"/>
        <w:rPr>
          <w:sz w:val="22"/>
        </w:rPr>
      </w:pPr>
      <w:r>
        <w:rPr>
          <w:sz w:val="22"/>
        </w:rPr>
        <w:t xml:space="preserve">мониторинга </w:t>
      </w:r>
      <w:r w:rsidR="007D732A">
        <w:rPr>
          <w:sz w:val="22"/>
        </w:rPr>
        <w:t xml:space="preserve">качества финансового </w:t>
      </w:r>
    </w:p>
    <w:p w:rsidR="006A631A" w:rsidRDefault="007D732A">
      <w:pPr>
        <w:ind w:firstLine="5103"/>
        <w:rPr>
          <w:sz w:val="22"/>
        </w:rPr>
      </w:pPr>
      <w:r>
        <w:rPr>
          <w:sz w:val="22"/>
        </w:rPr>
        <w:t>менеджмента</w:t>
      </w:r>
    </w:p>
    <w:p w:rsidR="006A631A" w:rsidRDefault="006A631A">
      <w:pPr>
        <w:ind w:firstLine="5103"/>
        <w:rPr>
          <w:sz w:val="24"/>
        </w:rPr>
      </w:pPr>
    </w:p>
    <w:p w:rsidR="006A631A" w:rsidRDefault="007D732A">
      <w:pPr>
        <w:ind w:firstLine="709"/>
        <w:jc w:val="center"/>
      </w:pPr>
      <w:r>
        <w:t>Целевые значения показателей качества финансового менеджмента</w:t>
      </w:r>
    </w:p>
    <w:p w:rsidR="006A631A" w:rsidRDefault="006A631A">
      <w:pPr>
        <w:ind w:firstLine="709"/>
        <w:jc w:val="center"/>
        <w:rPr>
          <w:sz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23"/>
        <w:gridCol w:w="6117"/>
      </w:tblGrid>
      <w:tr w:rsidR="006A631A">
        <w:trPr>
          <w:trHeight w:val="114"/>
          <w:tblHeader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31A" w:rsidRDefault="007D73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Целевое значение показателя</w:t>
            </w:r>
          </w:p>
        </w:tc>
      </w:tr>
      <w:tr w:rsidR="006A631A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 Среднесрочное финансовое планирование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11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  <w:r w:rsidRPr="00354A1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354A11" w:rsidRPr="00354A11">
              <w:rPr>
                <w:sz w:val="24"/>
                <w:szCs w:val="24"/>
              </w:rPr>
              <w:t>C</w:t>
            </w:r>
            <w:proofErr w:type="gramEnd"/>
            <w:r w:rsidR="00354A11" w:rsidRPr="00354A11">
              <w:rPr>
                <w:sz w:val="24"/>
                <w:szCs w:val="24"/>
              </w:rPr>
              <w:t>облюдение</w:t>
            </w:r>
            <w:proofErr w:type="spellEnd"/>
            <w:r w:rsidR="00354A11" w:rsidRPr="00354A11">
              <w:rPr>
                <w:sz w:val="24"/>
                <w:szCs w:val="24"/>
              </w:rPr>
              <w:t xml:space="preserve"> сроков ГРБС предоставления документов при подготовке бюджета, установленных постановлением Администрации Орловского района о порядке и сроках составления проекта бюджета Орловского района на очередной финансовый год и на плановый период (далее – Порядок составления  проекта бюджета Орловского района)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1017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  <w:r w:rsidRPr="00005143">
              <w:rPr>
                <w:sz w:val="24"/>
                <w:szCs w:val="24"/>
              </w:rPr>
              <w:t xml:space="preserve">. </w:t>
            </w:r>
            <w:r w:rsidR="00005143" w:rsidRPr="00005143">
              <w:rPr>
                <w:sz w:val="24"/>
                <w:szCs w:val="24"/>
              </w:rPr>
              <w:t>Качество правового акта ГРБС, регулирующего внутренние процедуры подготовки бюджетных проектировок на очередной финансовый год и (или) плановый период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Наличие правового акта ГРБС, регулирующего внутренние процедуры подготовки бюджетных проектировок на очередной финансовый год и плановый </w:t>
            </w:r>
            <w:proofErr w:type="gramStart"/>
            <w:r>
              <w:rPr>
                <w:sz w:val="24"/>
              </w:rPr>
              <w:t>период</w:t>
            </w:r>
            <w:proofErr w:type="gramEnd"/>
            <w:r>
              <w:rPr>
                <w:sz w:val="24"/>
              </w:rPr>
              <w:t xml:space="preserve"> и соответствие его требованиям пункта 1.2 приложения № 1 к Порядку</w:t>
            </w:r>
          </w:p>
        </w:tc>
      </w:tr>
      <w:tr w:rsidR="006A631A">
        <w:trPr>
          <w:trHeight w:val="43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922" w:rsidRPr="00854922" w:rsidRDefault="007D732A" w:rsidP="0085492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1.3. </w:t>
            </w:r>
            <w:r w:rsidR="00854922" w:rsidRPr="00854922">
              <w:rPr>
                <w:sz w:val="24"/>
                <w:szCs w:val="24"/>
              </w:rPr>
              <w:t xml:space="preserve">Наличие правового акта ГРБС, регламентирующего осуществление </w:t>
            </w:r>
            <w:proofErr w:type="gramStart"/>
            <w:r w:rsidR="00854922" w:rsidRPr="00854922">
              <w:rPr>
                <w:sz w:val="24"/>
                <w:szCs w:val="24"/>
              </w:rPr>
              <w:t>контроля за</w:t>
            </w:r>
            <w:proofErr w:type="gramEnd"/>
            <w:r w:rsidR="00854922" w:rsidRPr="00854922">
              <w:rPr>
                <w:sz w:val="24"/>
                <w:szCs w:val="24"/>
              </w:rPr>
              <w:t xml:space="preserve"> выполнением муниципальных заданий и определяющего количественно измеримые финансовые санкции (штрафы, изъятия) за нарушение условий выполнения муниципальных заданий</w:t>
            </w:r>
          </w:p>
          <w:p w:rsidR="006A631A" w:rsidRDefault="006A631A">
            <w:pPr>
              <w:rPr>
                <w:sz w:val="24"/>
              </w:rPr>
            </w:pP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1.3 приложения № 1 к Порядку</w:t>
            </w:r>
          </w:p>
        </w:tc>
      </w:tr>
      <w:tr w:rsidR="006A631A">
        <w:trPr>
          <w:trHeight w:val="7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922" w:rsidRPr="00854922" w:rsidRDefault="007D732A" w:rsidP="00854922">
            <w:pPr>
              <w:rPr>
                <w:sz w:val="24"/>
                <w:szCs w:val="24"/>
              </w:rPr>
            </w:pPr>
            <w:r w:rsidRPr="00854922">
              <w:rPr>
                <w:sz w:val="24"/>
                <w:szCs w:val="24"/>
              </w:rPr>
              <w:t xml:space="preserve">1.4. </w:t>
            </w:r>
            <w:r w:rsidR="00854922" w:rsidRPr="00854922">
              <w:rPr>
                <w:sz w:val="24"/>
                <w:szCs w:val="24"/>
              </w:rPr>
              <w:t>Доля государственных учреждений, для которых правовым актом ГРБС установлены количественно измеримые финансовые санкции (штрафы, изъятия) за нарушение условий выполнения муниципальных заданий</w:t>
            </w:r>
          </w:p>
          <w:p w:rsidR="006A631A" w:rsidRPr="00854922" w:rsidRDefault="006A631A">
            <w:pPr>
              <w:rPr>
                <w:sz w:val="24"/>
                <w:szCs w:val="24"/>
              </w:rPr>
            </w:pP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Pr="00854922" w:rsidRDefault="007D732A">
            <w:pPr>
              <w:rPr>
                <w:sz w:val="24"/>
                <w:szCs w:val="24"/>
              </w:rPr>
            </w:pPr>
            <w:r w:rsidRPr="00854922">
              <w:rPr>
                <w:sz w:val="24"/>
                <w:szCs w:val="24"/>
              </w:rPr>
              <w:t>Значение показателя равное 1</w:t>
            </w:r>
          </w:p>
          <w:p w:rsidR="006A631A" w:rsidRPr="00854922" w:rsidRDefault="007D732A" w:rsidP="00854922">
            <w:pPr>
              <w:rPr>
                <w:sz w:val="24"/>
                <w:szCs w:val="24"/>
              </w:rPr>
            </w:pPr>
            <w:r w:rsidRPr="00854922">
              <w:rPr>
                <w:sz w:val="24"/>
                <w:szCs w:val="24"/>
              </w:rPr>
              <w:t xml:space="preserve">Для ГРБС, которые устанавливают </w:t>
            </w:r>
            <w:r w:rsidR="00854922" w:rsidRPr="00854922">
              <w:rPr>
                <w:sz w:val="24"/>
                <w:szCs w:val="24"/>
              </w:rPr>
              <w:t>муниципальные</w:t>
            </w:r>
            <w:r w:rsidRPr="00854922">
              <w:rPr>
                <w:sz w:val="24"/>
                <w:szCs w:val="24"/>
              </w:rPr>
              <w:t xml:space="preserve"> задания для подведомственных учреждений доля учреждений, для которых правовым актом ГРБС установлены количественно измеримые финансовые санкции (штрафы, изъятия) за нарушение условий выполнения государственных заданий должна составлять 100%</w:t>
            </w:r>
          </w:p>
        </w:tc>
      </w:tr>
      <w:tr w:rsidR="006A631A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Pr="000134D6" w:rsidRDefault="007D732A">
            <w:pPr>
              <w:rPr>
                <w:sz w:val="24"/>
                <w:szCs w:val="24"/>
              </w:rPr>
            </w:pPr>
            <w:r w:rsidRPr="000134D6">
              <w:rPr>
                <w:sz w:val="24"/>
                <w:szCs w:val="24"/>
              </w:rPr>
              <w:t>1.5.</w:t>
            </w:r>
            <w:r w:rsidR="000134D6" w:rsidRPr="000134D6">
              <w:rPr>
                <w:sz w:val="24"/>
                <w:szCs w:val="24"/>
              </w:rPr>
              <w:t xml:space="preserve"> Количество изменений в решение о бюджете, подготовленных по инициативе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Pr="000134D6" w:rsidRDefault="007D732A">
            <w:pPr>
              <w:rPr>
                <w:sz w:val="24"/>
                <w:szCs w:val="24"/>
              </w:rPr>
            </w:pPr>
            <w:r w:rsidRPr="000134D6">
              <w:rPr>
                <w:sz w:val="24"/>
                <w:szCs w:val="24"/>
              </w:rPr>
              <w:t>Значение показателя равное 1</w:t>
            </w:r>
          </w:p>
          <w:p w:rsidR="006A631A" w:rsidRPr="000134D6" w:rsidRDefault="007D732A">
            <w:pPr>
              <w:rPr>
                <w:sz w:val="24"/>
                <w:szCs w:val="24"/>
              </w:rPr>
            </w:pPr>
            <w:proofErr w:type="gramStart"/>
            <w:r w:rsidRPr="000134D6">
              <w:rPr>
                <w:sz w:val="24"/>
                <w:szCs w:val="24"/>
              </w:rPr>
              <w:t>Внесены</w:t>
            </w:r>
            <w:proofErr w:type="gramEnd"/>
            <w:r w:rsidRPr="000134D6">
              <w:rPr>
                <w:sz w:val="24"/>
                <w:szCs w:val="24"/>
              </w:rPr>
              <w:t xml:space="preserve"> 4 и менее поправок в </w:t>
            </w:r>
            <w:r w:rsidR="000134D6" w:rsidRPr="000134D6">
              <w:rPr>
                <w:sz w:val="24"/>
                <w:szCs w:val="24"/>
              </w:rPr>
              <w:t>решение</w:t>
            </w:r>
            <w:r w:rsidRPr="000134D6">
              <w:rPr>
                <w:sz w:val="24"/>
                <w:szCs w:val="24"/>
              </w:rPr>
              <w:t xml:space="preserve"> о бюджете по инициативе главных распорядителей бюджетных средств</w:t>
            </w:r>
          </w:p>
        </w:tc>
      </w:tr>
      <w:tr w:rsidR="006A631A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1.6. Нарушение требований к формированию и представлению документов, необходимых для </w:t>
            </w:r>
            <w:r>
              <w:rPr>
                <w:sz w:val="24"/>
              </w:rPr>
              <w:lastRenderedPageBreak/>
              <w:t xml:space="preserve">планирования бюджета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 равное 1</w:t>
            </w:r>
          </w:p>
          <w:p w:rsidR="006A631A" w:rsidRDefault="007D732A" w:rsidP="001E0F85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требований к формированию и представлению документов, необходимых для </w:t>
            </w:r>
            <w:r>
              <w:rPr>
                <w:sz w:val="24"/>
              </w:rPr>
              <w:lastRenderedPageBreak/>
              <w:t xml:space="preserve">планирования бюджета в соответствии с приказом </w:t>
            </w:r>
            <w:r w:rsidR="001E0F85" w:rsidRPr="001E0F85">
              <w:rPr>
                <w:sz w:val="24"/>
                <w:szCs w:val="24"/>
              </w:rPr>
              <w:t xml:space="preserve">финансового отдела Администрации Орловского района </w:t>
            </w:r>
            <w:r w:rsidRPr="001E0F85">
              <w:rPr>
                <w:sz w:val="24"/>
                <w:szCs w:val="24"/>
              </w:rPr>
              <w:t>от</w:t>
            </w:r>
            <w:r>
              <w:rPr>
                <w:sz w:val="24"/>
              </w:rPr>
              <w:t xml:space="preserve"> </w:t>
            </w:r>
            <w:r w:rsidR="001E0F85">
              <w:rPr>
                <w:sz w:val="24"/>
              </w:rPr>
              <w:t>15</w:t>
            </w:r>
            <w:r>
              <w:rPr>
                <w:sz w:val="24"/>
              </w:rPr>
              <w:t>.0</w:t>
            </w:r>
            <w:r w:rsidR="001E0F85">
              <w:rPr>
                <w:sz w:val="24"/>
              </w:rPr>
              <w:t>4</w:t>
            </w:r>
            <w:r>
              <w:rPr>
                <w:sz w:val="24"/>
              </w:rPr>
              <w:t xml:space="preserve">.2016 № </w:t>
            </w:r>
            <w:r w:rsidR="001E0F85">
              <w:rPr>
                <w:sz w:val="24"/>
              </w:rPr>
              <w:t>18</w:t>
            </w:r>
            <w:r>
              <w:rPr>
                <w:sz w:val="24"/>
              </w:rPr>
              <w:t xml:space="preserve"> «О методике и порядке планирования бюджетных ассигнований бюджета</w:t>
            </w:r>
            <w:r w:rsidR="001E0F85">
              <w:rPr>
                <w:sz w:val="24"/>
              </w:rPr>
              <w:t xml:space="preserve"> Орловского района</w:t>
            </w:r>
            <w:r>
              <w:rPr>
                <w:sz w:val="24"/>
              </w:rPr>
              <w:t>»</w:t>
            </w:r>
          </w:p>
        </w:tc>
      </w:tr>
      <w:tr w:rsidR="006A631A">
        <w:trPr>
          <w:trHeight w:val="37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 Исполнение бюджета в части расходов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Доля неисполненных на конец отчетного финансового года бюджетных ассигнований – равно или меньше 2%, наилучшее значение - 0%.</w:t>
            </w:r>
          </w:p>
          <w:p w:rsidR="006A631A" w:rsidRDefault="006A631A">
            <w:pPr>
              <w:rPr>
                <w:sz w:val="24"/>
              </w:rPr>
            </w:pPr>
          </w:p>
        </w:tc>
      </w:tr>
      <w:tr w:rsidR="006A631A">
        <w:trPr>
          <w:trHeight w:val="22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2.2. Равномерность расходов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Кассовые расходы в четвертом квартале не превышают 50% среднего значения исполнения расходов за 1-3 кварталы </w:t>
            </w:r>
          </w:p>
        </w:tc>
      </w:tr>
      <w:tr w:rsidR="006A631A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136" w:rsidRDefault="007D732A" w:rsidP="00275136">
            <w:pPr>
              <w:rPr>
                <w:sz w:val="22"/>
              </w:rPr>
            </w:pPr>
            <w:r>
              <w:rPr>
                <w:sz w:val="24"/>
              </w:rPr>
              <w:t xml:space="preserve">2.3. </w:t>
            </w:r>
            <w:r w:rsidR="00275136" w:rsidRPr="00275136">
              <w:rPr>
                <w:sz w:val="24"/>
                <w:szCs w:val="24"/>
              </w:rPr>
              <w:t xml:space="preserve">Удельный вес муниципальных учреждений, выполнивших </w:t>
            </w:r>
            <w:r w:rsidR="00275136" w:rsidRPr="00275136">
              <w:rPr>
                <w:snapToGrid w:val="0"/>
                <w:sz w:val="24"/>
                <w:szCs w:val="24"/>
              </w:rPr>
              <w:t xml:space="preserve">муниципальное задание </w:t>
            </w:r>
            <w:r w:rsidR="00275136" w:rsidRPr="00275136">
              <w:rPr>
                <w:sz w:val="24"/>
                <w:szCs w:val="24"/>
              </w:rPr>
              <w:t xml:space="preserve">на 100%, в общем количестве учреждений, которым установлены </w:t>
            </w:r>
            <w:r w:rsidR="00275136" w:rsidRPr="00275136">
              <w:rPr>
                <w:snapToGrid w:val="0"/>
                <w:sz w:val="24"/>
                <w:szCs w:val="24"/>
              </w:rPr>
              <w:t>муниципальные задания</w:t>
            </w:r>
          </w:p>
          <w:p w:rsidR="006A631A" w:rsidRDefault="006A631A">
            <w:pPr>
              <w:rPr>
                <w:sz w:val="24"/>
              </w:rPr>
            </w:pP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275136">
            <w:pPr>
              <w:rPr>
                <w:sz w:val="24"/>
              </w:rPr>
            </w:pPr>
            <w:r>
              <w:rPr>
                <w:sz w:val="24"/>
              </w:rPr>
              <w:t>Муниципальное</w:t>
            </w:r>
            <w:r w:rsidR="007D732A">
              <w:rPr>
                <w:sz w:val="24"/>
              </w:rPr>
              <w:t xml:space="preserve"> задание выполнено всеми учреждениями на 100%</w:t>
            </w:r>
          </w:p>
        </w:tc>
      </w:tr>
      <w:tr w:rsidR="006A631A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2.4. Объем просроченной кредиторской задолженности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просроченной кредиторской задолженности</w:t>
            </w:r>
          </w:p>
        </w:tc>
      </w:tr>
      <w:tr w:rsidR="006A631A">
        <w:trPr>
          <w:trHeight w:val="4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2.5. Отклонение плановых и фактических показателей при кассовом планировании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Отклонение от фактических и плановых показателей при кассовом планировании в декабре не может быть более 15%</w:t>
            </w:r>
          </w:p>
        </w:tc>
      </w:tr>
      <w:tr w:rsidR="006A631A">
        <w:trPr>
          <w:trHeight w:val="29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Объем кредиторской задолженности по расчетам с поставщиками  за отчетный год не должен превышать  50% кассового исполнения расходов в отчетном году</w:t>
            </w:r>
          </w:p>
        </w:tc>
      </w:tr>
      <w:tr w:rsidR="006A631A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2.7.Качество Порядка составления, утверждения и ведения бюджетных смет участников бюджетного процесса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и соответствие его требованиям пункта 2.7 приложения № 1 к Порядку</w:t>
            </w:r>
          </w:p>
        </w:tc>
      </w:tr>
      <w:tr w:rsidR="006A631A">
        <w:trPr>
          <w:trHeight w:val="90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 w:rsidP="006506FE">
            <w:pPr>
              <w:rPr>
                <w:sz w:val="24"/>
              </w:rPr>
            </w:pPr>
            <w:r>
              <w:rPr>
                <w:sz w:val="24"/>
              </w:rPr>
              <w:t xml:space="preserve">2.8. Своевременность заключения </w:t>
            </w:r>
            <w:r w:rsidR="006506FE">
              <w:rPr>
                <w:sz w:val="24"/>
              </w:rPr>
              <w:t>муниципальных</w:t>
            </w:r>
            <w:r>
              <w:rPr>
                <w:sz w:val="24"/>
              </w:rPr>
              <w:t xml:space="preserve"> контрактов на поставки товаров, оказание услуг, выполнение работ для государственных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По итогам первого полугодия объем заключенных контрактов должен соответствовать объему доведенных лимитов</w:t>
            </w:r>
          </w:p>
        </w:tc>
      </w:tr>
      <w:tr w:rsidR="006A631A">
        <w:trPr>
          <w:trHeight w:val="24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 Исполнение бюджета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68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 xml:space="preserve">3.1. Отклонение от плана формирования налоговых и неналоговых доходов по главному </w:t>
            </w:r>
            <w:r w:rsidRPr="006E122D">
              <w:rPr>
                <w:b w:val="0"/>
                <w:szCs w:val="24"/>
              </w:rPr>
              <w:t xml:space="preserve">администратору </w:t>
            </w:r>
            <w:r w:rsidR="006E122D" w:rsidRPr="006E122D">
              <w:rPr>
                <w:b w:val="0"/>
                <w:snapToGrid w:val="0"/>
                <w:szCs w:val="24"/>
              </w:rPr>
              <w:t>бюджета Орловского района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pStyle w:val="aa"/>
              <w:jc w:val="left"/>
              <w:rPr>
                <w:b w:val="0"/>
              </w:rPr>
            </w:pPr>
            <w:r>
              <w:rPr>
                <w:b w:val="0"/>
              </w:rPr>
              <w:t>Отклонение от плана формирования налоговых и неналоговых доходов не может быть менее 15%, и не может превышать 30%</w:t>
            </w:r>
          </w:p>
        </w:tc>
      </w:tr>
      <w:tr w:rsidR="006A631A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sz w:val="24"/>
              </w:rPr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Объем дебиторской задолженности по доходам не должен превышать 50% кассового исполнения по доходам</w:t>
            </w:r>
          </w:p>
        </w:tc>
      </w:tr>
      <w:tr w:rsidR="006A631A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 xml:space="preserve">3.3. </w:t>
            </w:r>
            <w:r>
              <w:rPr>
                <w:sz w:val="24"/>
              </w:rPr>
              <w:t>Качество управления просроченной дебиторской задолженностью по платежам в бюджет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Разница между объемом просроченной дебиторской задолженности на начало отчетного финансового </w:t>
            </w:r>
            <w:proofErr w:type="gramStart"/>
            <w:r>
              <w:rPr>
                <w:sz w:val="24"/>
              </w:rPr>
              <w:t>года</w:t>
            </w:r>
            <w:proofErr w:type="gramEnd"/>
            <w:r>
              <w:rPr>
                <w:sz w:val="24"/>
              </w:rPr>
              <w:t xml:space="preserve"> и конец отчетного финансового года стремится к отсутствию задолженности, или должна снизиться на 50% и более</w:t>
            </w:r>
          </w:p>
        </w:tc>
      </w:tr>
      <w:tr w:rsidR="006A631A">
        <w:trPr>
          <w:trHeight w:val="566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3.4. Доля сомнительной дебиторской задолженности по доходам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Объем сомнительной дебиторской задолженности не должен превышать 10% от общего объема дебиторской задолженности по состоянию на 1 января очередного финансового года, за исключением доходов будущих периодов</w:t>
            </w:r>
          </w:p>
        </w:tc>
      </w:tr>
      <w:tr w:rsidR="006A631A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 Учет и отчетность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79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Pr="00C93E7B" w:rsidRDefault="007D732A">
            <w:pPr>
              <w:rPr>
                <w:sz w:val="24"/>
                <w:szCs w:val="24"/>
              </w:rPr>
            </w:pPr>
            <w:r w:rsidRPr="00C93E7B">
              <w:rPr>
                <w:sz w:val="24"/>
                <w:szCs w:val="24"/>
              </w:rPr>
              <w:t xml:space="preserve">4.1. Качество формирования ГРБС бюджетной отчетности и бухгалтерской отчетности </w:t>
            </w:r>
            <w:r w:rsidR="006E122D" w:rsidRPr="00C93E7B">
              <w:rPr>
                <w:snapToGrid w:val="0"/>
                <w:sz w:val="24"/>
                <w:szCs w:val="24"/>
              </w:rPr>
              <w:t>муниципальных</w:t>
            </w:r>
            <w:r w:rsidRPr="00C93E7B">
              <w:rPr>
                <w:sz w:val="24"/>
                <w:szCs w:val="24"/>
              </w:rPr>
              <w:t xml:space="preserve"> автономных и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Pr="00C93E7B" w:rsidRDefault="007D732A">
            <w:pPr>
              <w:rPr>
                <w:sz w:val="24"/>
                <w:szCs w:val="24"/>
              </w:rPr>
            </w:pPr>
            <w:r w:rsidRPr="00C93E7B">
              <w:rPr>
                <w:sz w:val="24"/>
                <w:szCs w:val="24"/>
              </w:rPr>
              <w:t>Значение показателя равное 1</w:t>
            </w:r>
          </w:p>
          <w:p w:rsidR="006A631A" w:rsidRPr="00C93E7B" w:rsidRDefault="007D732A">
            <w:pPr>
              <w:rPr>
                <w:sz w:val="24"/>
                <w:szCs w:val="24"/>
              </w:rPr>
            </w:pPr>
            <w:r w:rsidRPr="00C93E7B">
              <w:rPr>
                <w:sz w:val="24"/>
                <w:szCs w:val="24"/>
              </w:rPr>
              <w:t xml:space="preserve">Отсутствие ошибок формирования ГРБС бюджетной отчетности и бухгалтерской отчетности </w:t>
            </w:r>
            <w:r w:rsidR="006E122D" w:rsidRPr="00C93E7B">
              <w:rPr>
                <w:snapToGrid w:val="0"/>
                <w:sz w:val="24"/>
                <w:szCs w:val="24"/>
              </w:rPr>
              <w:t>муниципальных</w:t>
            </w:r>
            <w:r w:rsidRPr="00C93E7B">
              <w:rPr>
                <w:sz w:val="24"/>
                <w:szCs w:val="24"/>
              </w:rPr>
              <w:t xml:space="preserve"> автономных и бюджетных учреждений</w:t>
            </w:r>
          </w:p>
        </w:tc>
      </w:tr>
      <w:tr w:rsidR="006A631A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4.2. Соблюдение сроков предоставления ГРБС бюджетной отчетности и бухгалтерской отчетности </w:t>
            </w:r>
            <w:r w:rsidR="00C93E7B" w:rsidRPr="00C93E7B">
              <w:rPr>
                <w:snapToGrid w:val="0"/>
                <w:sz w:val="24"/>
                <w:szCs w:val="24"/>
              </w:rPr>
              <w:t>муниципальных</w:t>
            </w:r>
            <w:r w:rsidR="00C93E7B">
              <w:rPr>
                <w:sz w:val="24"/>
              </w:rPr>
              <w:t xml:space="preserve"> </w:t>
            </w:r>
            <w:r>
              <w:rPr>
                <w:sz w:val="24"/>
              </w:rPr>
              <w:t>автономных и бюджетных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Соблюдение сроков </w:t>
            </w:r>
          </w:p>
        </w:tc>
      </w:tr>
      <w:tr w:rsidR="006A631A">
        <w:trPr>
          <w:trHeight w:val="57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4.3. Административные правонарушения, совершенные  должностными лицами главных распорядителей </w:t>
            </w:r>
            <w:r w:rsidR="00C93E7B" w:rsidRPr="00E309FD">
              <w:rPr>
                <w:sz w:val="24"/>
                <w:szCs w:val="24"/>
              </w:rPr>
              <w:t>средств бюджета Орловского района</w:t>
            </w:r>
            <w:r w:rsidRPr="00E309FD">
              <w:rPr>
                <w:sz w:val="24"/>
                <w:szCs w:val="24"/>
              </w:rPr>
              <w:t xml:space="preserve"> и учреждений,</w:t>
            </w:r>
            <w:r>
              <w:rPr>
                <w:sz w:val="24"/>
              </w:rPr>
              <w:t xml:space="preserve">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административных правонарушений в отношении ст. 15.15</w:t>
            </w:r>
            <w:r>
              <w:rPr>
                <w:sz w:val="24"/>
                <w:vertAlign w:val="superscript"/>
              </w:rPr>
              <w:t>6</w:t>
            </w:r>
            <w:r>
              <w:rPr>
                <w:sz w:val="24"/>
              </w:rPr>
              <w:t xml:space="preserve"> КОАП РФ</w:t>
            </w:r>
          </w:p>
        </w:tc>
      </w:tr>
      <w:tr w:rsidR="006A631A">
        <w:trPr>
          <w:trHeight w:val="122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 Контроль и аудит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5.1. Несоответствие заявок на оплату расходов, </w:t>
            </w:r>
            <w:r w:rsidRPr="00E309FD">
              <w:rPr>
                <w:sz w:val="24"/>
                <w:szCs w:val="24"/>
              </w:rPr>
              <w:t xml:space="preserve">представленных в </w:t>
            </w:r>
            <w:r w:rsidR="008068E2" w:rsidRPr="00E309FD">
              <w:rPr>
                <w:snapToGrid w:val="0"/>
                <w:sz w:val="24"/>
                <w:szCs w:val="24"/>
              </w:rPr>
              <w:t>финансовый отдел Администрации Орловского района</w:t>
            </w:r>
            <w:r w:rsidRPr="00E309FD">
              <w:rPr>
                <w:sz w:val="24"/>
                <w:szCs w:val="24"/>
              </w:rPr>
              <w:t>, требованиям</w:t>
            </w:r>
            <w:r>
              <w:rPr>
                <w:sz w:val="24"/>
              </w:rPr>
              <w:t xml:space="preserve"> бюджетного законодательства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заявок на оплату расходов, </w:t>
            </w:r>
            <w:proofErr w:type="spellStart"/>
            <w:r>
              <w:rPr>
                <w:sz w:val="24"/>
              </w:rPr>
              <w:t>отказаных</w:t>
            </w:r>
            <w:proofErr w:type="spellEnd"/>
            <w:r>
              <w:rPr>
                <w:sz w:val="24"/>
              </w:rPr>
              <w:t xml:space="preserve"> </w:t>
            </w:r>
            <w:r w:rsidR="008068E2">
              <w:rPr>
                <w:rFonts w:ascii="Times New Roman CYR" w:hAnsi="Times New Roman CYR"/>
                <w:snapToGrid w:val="0"/>
                <w:sz w:val="22"/>
                <w:szCs w:val="22"/>
              </w:rPr>
              <w:t>финансовый отдел Администрации Орловского района</w:t>
            </w:r>
            <w:r w:rsidR="008068E2">
              <w:rPr>
                <w:sz w:val="24"/>
              </w:rPr>
              <w:t xml:space="preserve"> </w:t>
            </w:r>
            <w:r>
              <w:rPr>
                <w:sz w:val="24"/>
              </w:rPr>
              <w:t>должно составлять менее или равное 0,1% общего объема заявок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5D59FD" w:rsidRPr="005D59FD">
              <w:rPr>
                <w:sz w:val="24"/>
                <w:szCs w:val="24"/>
              </w:rPr>
              <w:t>бюджета Орловского района</w:t>
            </w:r>
            <w:r w:rsidRPr="005D59FD">
              <w:rPr>
                <w:sz w:val="24"/>
                <w:szCs w:val="24"/>
              </w:rPr>
              <w:t xml:space="preserve"> и учреждений</w:t>
            </w:r>
            <w:r>
              <w:rPr>
                <w:sz w:val="24"/>
              </w:rPr>
              <w:t>, находящихся в ведении таких главных распорядителей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протоколов об административных правонарушениях в отношении ст. 15.1, 15.14-15.15</w:t>
            </w:r>
            <w:r>
              <w:rPr>
                <w:sz w:val="24"/>
                <w:vertAlign w:val="superscript"/>
              </w:rPr>
              <w:t xml:space="preserve">6 </w:t>
            </w:r>
            <w:r>
              <w:rPr>
                <w:sz w:val="24"/>
              </w:rPr>
              <w:t>КОАП РФ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5.3. Наличие выявленных при осуществлении мероприятий внутреннего </w:t>
            </w:r>
            <w:r w:rsidR="00DB41F8" w:rsidRPr="00DB41F8">
              <w:rPr>
                <w:sz w:val="24"/>
                <w:szCs w:val="24"/>
              </w:rPr>
              <w:t>муниципального</w:t>
            </w:r>
            <w:r w:rsidRPr="00DB41F8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финансового контроля нарушений бюджетного законодательства и законодательства в сфере закупок, допущенных главными </w:t>
            </w:r>
            <w:r w:rsidRPr="00E309FD">
              <w:rPr>
                <w:sz w:val="24"/>
                <w:szCs w:val="24"/>
              </w:rPr>
              <w:lastRenderedPageBreak/>
              <w:t xml:space="preserve">распорядителями </w:t>
            </w:r>
            <w:r w:rsidR="005D59FD" w:rsidRPr="00E309FD">
              <w:rPr>
                <w:sz w:val="24"/>
                <w:szCs w:val="24"/>
              </w:rPr>
              <w:t>бюджета Орловского района</w:t>
            </w:r>
            <w:r w:rsidRPr="00E309FD">
              <w:rPr>
                <w:sz w:val="24"/>
                <w:szCs w:val="24"/>
              </w:rPr>
              <w:t>, в т.ч. требующих возврата  предоставленных средств и</w:t>
            </w:r>
            <w:r>
              <w:rPr>
                <w:sz w:val="24"/>
              </w:rPr>
              <w:t xml:space="preserve"> возмещение причиненного ущерба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Отсутствие нарушений 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5.4. Наличие факта неправомерного использования бюджетных средств (нецелевое использование)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Недопущение неправомерного использования средств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5.5. Наличие нарушений при планировании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5.7. Нарушение порядка принятия бюджетных обязательств на закупку товаров, работ и услуг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5.8. Нарушение доведения бюджетных ассигнований и лимитов бюджетных обязательств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5.9. Качество исполнения представлений и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</w:t>
            </w:r>
            <w:r w:rsidR="004441A7">
              <w:rPr>
                <w:sz w:val="24"/>
              </w:rPr>
              <w:t xml:space="preserve">, </w:t>
            </w:r>
            <w:r w:rsidR="004441A7" w:rsidRPr="004441A7">
              <w:rPr>
                <w:sz w:val="24"/>
                <w:szCs w:val="24"/>
              </w:rPr>
              <w:t>контрольно-счетного органа Орловского района, органа внутреннего муниципального финансового контроля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Исполнение представлений и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</w:t>
            </w:r>
            <w:r w:rsidR="004441A7">
              <w:rPr>
                <w:sz w:val="24"/>
              </w:rPr>
              <w:t xml:space="preserve">, </w:t>
            </w:r>
            <w:r w:rsidR="004441A7" w:rsidRPr="004441A7">
              <w:rPr>
                <w:sz w:val="24"/>
                <w:szCs w:val="24"/>
              </w:rPr>
              <w:t>контрольно-счетного органа Орловского района, органа внутреннего муниципального финансового контроля</w:t>
            </w:r>
            <w:r w:rsidRPr="004441A7">
              <w:rPr>
                <w:sz w:val="24"/>
                <w:szCs w:val="24"/>
              </w:rPr>
              <w:t xml:space="preserve"> в</w:t>
            </w:r>
            <w:r>
              <w:rPr>
                <w:sz w:val="24"/>
              </w:rPr>
              <w:t xml:space="preserve"> полном объеме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5.10. Качество правового акта ГРБС об осуществлении внутреннего финансового аудита в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b/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5.10 приложения № 1 к Порядку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5.11. Качество процедур планирования внутреннего финансового аудита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 в соответствии с пунктом 5.11 приложения № 1 к Порядку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 Исполнение судебных 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sz w:val="24"/>
              </w:rPr>
              <w:t>6.1. Иски о возмещении ущерба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о возмещении ущерба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6.2. Иски о взыскании 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399 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ГРБС в порядке субсидиарной ответственности по деятельности его подведомственных учреждений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Сумма исковых требований, определенная судом к взысканию  к  казенным учреждениям ГРБС, по принятым ими как получателями бюджетных средств обязательствам (в денежном выражении), должна быть менее или равна 50% общей суммы заявленных требований, или исковые требования должны полностью отсутствовать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6.4. Сумма, подлежащая взысканию по исполнительным документам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Сумма, взысканная по исполнительным листам не должна превышать 2% кассового исполнения расходов ГРБС</w:t>
            </w:r>
          </w:p>
        </w:tc>
      </w:tr>
      <w:tr w:rsidR="006A631A">
        <w:trPr>
          <w:trHeight w:val="27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7.1. Квалификация сотрудников </w:t>
            </w:r>
          </w:p>
          <w:p w:rsidR="006A631A" w:rsidRDefault="007D732A">
            <w:pPr>
              <w:rPr>
                <w:b/>
                <w:sz w:val="24"/>
              </w:rPr>
            </w:pPr>
            <w:r>
              <w:rPr>
                <w:sz w:val="24"/>
              </w:rPr>
              <w:t>финансового (финансово-экономического) подразделения центрального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Наличие в штате финансового (финансово-экономического) подразделения аппарата ГРБС 100% сотрудников, обладающих дипломами о высшем профессиональном образовании или о профессиональной переподготовке по экономическим направлениям подготовки (специальностям)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7.2. Участие  сотрудников финансового (финансово-экономического) подразделения аппарата ГРБС в мероприятиях по профессиональному развитию в области экономики и финансов в последние три отчетных года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Участие в мероприятиях по профессиональному развитию в области экономики и финансов всех сотрудников финансового (финансово-экономического) подразделения аппарата ГРБС, равное 100%</w:t>
            </w:r>
          </w:p>
          <w:p w:rsidR="006A631A" w:rsidRDefault="006A631A">
            <w:pPr>
              <w:rPr>
                <w:strike/>
                <w:sz w:val="24"/>
              </w:rPr>
            </w:pP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7.3. Укомплектованность  финансового (финансово-экономического) подразделения центрального аппарата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Полная укомплектованность  финансового (финансово-экономического) подразделения центрального аппарата ГРБС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штатным расписанием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 Управление активами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104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trike/>
                <w:sz w:val="24"/>
              </w:rPr>
            </w:pPr>
            <w:r>
              <w:rPr>
                <w:sz w:val="24"/>
              </w:rPr>
              <w:t xml:space="preserve">8.1.Нарушения при управлении и распоряжении </w:t>
            </w:r>
            <w:r w:rsidR="00652604" w:rsidRPr="00652604">
              <w:rPr>
                <w:sz w:val="24"/>
                <w:szCs w:val="24"/>
              </w:rPr>
              <w:t>муниципальной</w:t>
            </w:r>
            <w:r w:rsidRPr="00652604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собственностью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trike/>
                <w:sz w:val="24"/>
              </w:rPr>
            </w:pPr>
            <w:r>
              <w:rPr>
                <w:sz w:val="24"/>
              </w:rPr>
              <w:t xml:space="preserve">Отсутствуют нарушения при управлении и распоряжении </w:t>
            </w:r>
            <w:r w:rsidR="00FC1357" w:rsidRPr="00652604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</w:rPr>
              <w:t xml:space="preserve"> собственностью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trike/>
                <w:sz w:val="24"/>
              </w:rPr>
            </w:pPr>
            <w:r>
              <w:rPr>
                <w:sz w:val="24"/>
              </w:rPr>
              <w:t>8.2. Проведение инвентаризаций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jc w:val="both"/>
              <w:rPr>
                <w:strike/>
                <w:sz w:val="24"/>
              </w:rPr>
            </w:pPr>
            <w:r>
              <w:rPr>
                <w:sz w:val="24"/>
              </w:rPr>
              <w:t>Проведение инвентаризации в целях составления годовой бюджетной отчетности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9. Качество управления средствами федерального, областного бюджетов в части целевых межбюджетных трансфертов, а также деятельностью бюджетных и автономных учреждений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b/>
                <w:sz w:val="24"/>
              </w:rPr>
            </w:pPr>
          </w:p>
        </w:tc>
      </w:tr>
      <w:tr w:rsidR="006A631A">
        <w:trPr>
          <w:trHeight w:val="185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9.1. Эффективность использования межбюджетных трансфертов, предоставляемых бюджетам муниципальных образований за счет средств федерального, областного бюджетов и Фонда содействия реформированию ЖКХ</w:t>
            </w:r>
            <w:r>
              <w:rPr>
                <w:strike/>
                <w:color w:val="000000" w:themeColor="text1"/>
                <w:sz w:val="24"/>
              </w:rPr>
              <w:t xml:space="preserve"> 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Значение показателя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Использование межбюджетных трансфертов (субвенций, субсидий, иных межбюджетных трансфертов) местными бюджетами на 100%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 xml:space="preserve">9.2. Эффективность использования </w:t>
            </w:r>
            <w:r w:rsidR="005E7C95" w:rsidRPr="005E7C95">
              <w:rPr>
                <w:sz w:val="24"/>
                <w:szCs w:val="24"/>
              </w:rPr>
              <w:t>областных</w:t>
            </w:r>
            <w:r w:rsidRPr="005E7C95">
              <w:rPr>
                <w:sz w:val="24"/>
                <w:szCs w:val="24"/>
              </w:rPr>
              <w:t xml:space="preserve"> субсидий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 w:rsidP="005E7C95">
            <w:pPr>
              <w:rPr>
                <w:sz w:val="24"/>
              </w:rPr>
            </w:pPr>
            <w:r>
              <w:rPr>
                <w:sz w:val="24"/>
              </w:rPr>
              <w:t>Выполнение условий обязательств по соглашени</w:t>
            </w:r>
            <w:r w:rsidR="005E7C95">
              <w:rPr>
                <w:sz w:val="24"/>
              </w:rPr>
              <w:t>ям о предоставлении субсидий из областн</w:t>
            </w:r>
            <w:r>
              <w:rPr>
                <w:sz w:val="24"/>
              </w:rPr>
              <w:t>ого бюджета.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9.3. Наличие правового акта, устанавливающего порядок проведения мониторинга качества финансового менеджмента в отношении подведомственных учреждений ГРБС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Наличие правового акта ГРБС, содержащего: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1) правила расчета и анализа значений показателей качества финансового менеджмента;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2) правила формирования и представления информации, необходимой для проведения мониторинга;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3) правила формирования и представления отчета о результатах мониторинга качества финансового менеджмента.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 w:rsidP="00BB1B04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10. Качество осуществления закупок товаров, работ и услуг для обеспечения </w:t>
            </w:r>
            <w:r w:rsidR="00BB1B04" w:rsidRPr="00BB1B04">
              <w:rPr>
                <w:b/>
                <w:sz w:val="24"/>
                <w:szCs w:val="24"/>
              </w:rPr>
              <w:t>муниципальных</w:t>
            </w:r>
            <w:r w:rsidRPr="00BB1B04">
              <w:rPr>
                <w:b/>
                <w:sz w:val="24"/>
                <w:szCs w:val="24"/>
              </w:rPr>
              <w:t xml:space="preserve"> нужд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6A631A">
            <w:pPr>
              <w:rPr>
                <w:sz w:val="24"/>
              </w:rPr>
            </w:pP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10.1. Нарушения требований Федерального </w:t>
            </w:r>
            <w:hyperlink r:id="rId6" w:history="1">
              <w:r>
                <w:rPr>
                  <w:rFonts w:ascii="Times New Roman" w:hAnsi="Times New Roman"/>
                  <w:color w:val="000000" w:themeColor="text1"/>
                  <w:sz w:val="24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и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10.2.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Нарушения требований законодательства о контрактной системе при размещении информации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единой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информационной системе в сфере закупок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10.3. </w:t>
            </w:r>
            <w:r>
              <w:rPr>
                <w:sz w:val="24"/>
              </w:rPr>
              <w:t xml:space="preserve">Нарушения требований законодательства о контрактной системе в ходе определения </w:t>
            </w:r>
            <w:r>
              <w:rPr>
                <w:sz w:val="24"/>
              </w:rPr>
              <w:lastRenderedPageBreak/>
              <w:t>поставщика (подрядчика, исполнителя)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lastRenderedPageBreak/>
              <w:t>10.4. 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10.5.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10.6. Доля контрактов, заключенных по начальной (максимальной) цене контракта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10.7. Доля контрактов, по которым увеличена цена в ходе исполнения контрактов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10.10.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10.11. Доля участия субъектов малого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  <w:tr w:rsidR="006A631A">
        <w:trPr>
          <w:trHeight w:val="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10.12. </w:t>
            </w:r>
            <w:r>
              <w:rPr>
                <w:sz w:val="24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Значение показателя, равное 1</w:t>
            </w:r>
          </w:p>
          <w:p w:rsidR="006A631A" w:rsidRDefault="007D732A">
            <w:pPr>
              <w:rPr>
                <w:sz w:val="24"/>
              </w:rPr>
            </w:pPr>
            <w:r>
              <w:rPr>
                <w:sz w:val="24"/>
              </w:rPr>
              <w:t>Отсутствие нарушений</w:t>
            </w:r>
          </w:p>
        </w:tc>
      </w:tr>
    </w:tbl>
    <w:p w:rsidR="006A631A" w:rsidRDefault="006A631A"/>
    <w:sectPr w:rsidR="006A631A" w:rsidSect="006A631A">
      <w:headerReference w:type="default" r:id="rId7"/>
      <w:pgSz w:w="11906" w:h="16838"/>
      <w:pgMar w:top="851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31A" w:rsidRDefault="006A631A" w:rsidP="006A631A">
      <w:r>
        <w:separator/>
      </w:r>
    </w:p>
  </w:endnote>
  <w:endnote w:type="continuationSeparator" w:id="0">
    <w:p w:rsidR="006A631A" w:rsidRDefault="006A631A" w:rsidP="006A6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31A" w:rsidRDefault="006A631A" w:rsidP="006A631A">
      <w:r>
        <w:separator/>
      </w:r>
    </w:p>
  </w:footnote>
  <w:footnote w:type="continuationSeparator" w:id="0">
    <w:p w:rsidR="006A631A" w:rsidRDefault="006A631A" w:rsidP="006A6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31A" w:rsidRDefault="0016364C">
    <w:pPr>
      <w:framePr w:wrap="around" w:vAnchor="text" w:hAnchor="margin" w:xAlign="center" w:y="1"/>
    </w:pPr>
    <w:r>
      <w:rPr>
        <w:sz w:val="22"/>
      </w:rPr>
      <w:fldChar w:fldCharType="begin"/>
    </w:r>
    <w:r w:rsidR="007D732A">
      <w:rPr>
        <w:sz w:val="22"/>
      </w:rPr>
      <w:instrText>PAGE \* Arabic</w:instrText>
    </w:r>
    <w:r>
      <w:rPr>
        <w:sz w:val="22"/>
      </w:rPr>
      <w:fldChar w:fldCharType="separate"/>
    </w:r>
    <w:r w:rsidR="00BB1B04">
      <w:rPr>
        <w:noProof/>
        <w:sz w:val="22"/>
      </w:rPr>
      <w:t>6</w:t>
    </w:r>
    <w:r>
      <w:rPr>
        <w:sz w:val="22"/>
      </w:rPr>
      <w:fldChar w:fldCharType="end"/>
    </w:r>
  </w:p>
  <w:p w:rsidR="006A631A" w:rsidRDefault="006A631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31A"/>
    <w:rsid w:val="00005143"/>
    <w:rsid w:val="000134D6"/>
    <w:rsid w:val="0016364C"/>
    <w:rsid w:val="001E0F85"/>
    <w:rsid w:val="00275136"/>
    <w:rsid w:val="003334DC"/>
    <w:rsid w:val="00354A11"/>
    <w:rsid w:val="004441A7"/>
    <w:rsid w:val="004F379E"/>
    <w:rsid w:val="005D59FD"/>
    <w:rsid w:val="005E7C95"/>
    <w:rsid w:val="006506FE"/>
    <w:rsid w:val="00652604"/>
    <w:rsid w:val="006A631A"/>
    <w:rsid w:val="006E122D"/>
    <w:rsid w:val="007D732A"/>
    <w:rsid w:val="008068E2"/>
    <w:rsid w:val="00854922"/>
    <w:rsid w:val="00BB1B04"/>
    <w:rsid w:val="00C93E7B"/>
    <w:rsid w:val="00DB41F8"/>
    <w:rsid w:val="00E309FD"/>
    <w:rsid w:val="00FA4C61"/>
    <w:rsid w:val="00FC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A631A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6A631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A631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A631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A631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A631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A631A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rsid w:val="006A631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A631A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6A631A"/>
  </w:style>
  <w:style w:type="paragraph" w:styleId="41">
    <w:name w:val="toc 4"/>
    <w:next w:val="a"/>
    <w:link w:val="42"/>
    <w:uiPriority w:val="39"/>
    <w:rsid w:val="006A631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A631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A631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A631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A631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A631A"/>
    <w:rPr>
      <w:rFonts w:ascii="XO Thames" w:hAnsi="XO Thames"/>
      <w:sz w:val="28"/>
    </w:rPr>
  </w:style>
  <w:style w:type="paragraph" w:customStyle="1" w:styleId="13">
    <w:name w:val="Обычный1"/>
    <w:link w:val="14"/>
    <w:rsid w:val="006A631A"/>
    <w:rPr>
      <w:rFonts w:ascii="Times New Roman" w:hAnsi="Times New Roman"/>
      <w:sz w:val="28"/>
    </w:rPr>
  </w:style>
  <w:style w:type="character" w:customStyle="1" w:styleId="14">
    <w:name w:val="Обычный1"/>
    <w:link w:val="13"/>
    <w:rsid w:val="006A631A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6A631A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A631A"/>
    <w:rPr>
      <w:rFonts w:ascii="Arial" w:hAnsi="Arial"/>
      <w:sz w:val="20"/>
    </w:rPr>
  </w:style>
  <w:style w:type="character" w:customStyle="1" w:styleId="30">
    <w:name w:val="Заголовок 3 Знак"/>
    <w:link w:val="3"/>
    <w:rsid w:val="006A631A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6A63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A631A"/>
  </w:style>
  <w:style w:type="paragraph" w:styleId="31">
    <w:name w:val="toc 3"/>
    <w:next w:val="a"/>
    <w:link w:val="32"/>
    <w:uiPriority w:val="39"/>
    <w:rsid w:val="006A631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A631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6A631A"/>
    <w:rPr>
      <w:rFonts w:ascii="XO Thames" w:hAnsi="XO Thames"/>
      <w:b/>
    </w:rPr>
  </w:style>
  <w:style w:type="paragraph" w:customStyle="1" w:styleId="15">
    <w:name w:val="Основной шрифт абзаца1"/>
    <w:link w:val="16"/>
    <w:rsid w:val="006A631A"/>
  </w:style>
  <w:style w:type="character" w:customStyle="1" w:styleId="16">
    <w:name w:val="Основной шрифт абзаца1"/>
    <w:link w:val="15"/>
    <w:rsid w:val="006A631A"/>
  </w:style>
  <w:style w:type="character" w:customStyle="1" w:styleId="11">
    <w:name w:val="Заголовок 1 Знак"/>
    <w:link w:val="10"/>
    <w:rsid w:val="006A631A"/>
    <w:rPr>
      <w:rFonts w:ascii="XO Thames" w:hAnsi="XO Thames"/>
      <w:b/>
      <w:sz w:val="32"/>
    </w:rPr>
  </w:style>
  <w:style w:type="paragraph" w:customStyle="1" w:styleId="17">
    <w:name w:val="Основной шрифт абзаца1"/>
    <w:link w:val="18"/>
    <w:rsid w:val="006A631A"/>
  </w:style>
  <w:style w:type="character" w:customStyle="1" w:styleId="18">
    <w:name w:val="Основной шрифт абзаца1"/>
    <w:link w:val="17"/>
    <w:rsid w:val="006A631A"/>
  </w:style>
  <w:style w:type="paragraph" w:customStyle="1" w:styleId="19">
    <w:name w:val="Гиперссылка1"/>
    <w:link w:val="1a"/>
    <w:rsid w:val="006A631A"/>
    <w:rPr>
      <w:color w:val="0000FF"/>
      <w:u w:val="single"/>
    </w:rPr>
  </w:style>
  <w:style w:type="character" w:customStyle="1" w:styleId="1a">
    <w:name w:val="Гиперссылка1"/>
    <w:link w:val="19"/>
    <w:rsid w:val="006A631A"/>
    <w:rPr>
      <w:color w:val="0000FF"/>
      <w:u w:val="single"/>
    </w:rPr>
  </w:style>
  <w:style w:type="paragraph" w:customStyle="1" w:styleId="23">
    <w:name w:val="Гиперссылка2"/>
    <w:link w:val="a5"/>
    <w:rsid w:val="006A631A"/>
    <w:rPr>
      <w:color w:val="0000FF"/>
      <w:u w:val="single"/>
    </w:rPr>
  </w:style>
  <w:style w:type="character" w:styleId="a5">
    <w:name w:val="Hyperlink"/>
    <w:link w:val="23"/>
    <w:rsid w:val="006A631A"/>
    <w:rPr>
      <w:color w:val="0000FF"/>
      <w:u w:val="single"/>
    </w:rPr>
  </w:style>
  <w:style w:type="paragraph" w:customStyle="1" w:styleId="Footnote">
    <w:name w:val="Footnote"/>
    <w:link w:val="Footnote0"/>
    <w:rsid w:val="006A631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A631A"/>
    <w:rPr>
      <w:rFonts w:ascii="XO Thames" w:hAnsi="XO Thames"/>
    </w:rPr>
  </w:style>
  <w:style w:type="paragraph" w:styleId="1b">
    <w:name w:val="toc 1"/>
    <w:next w:val="a"/>
    <w:link w:val="1c"/>
    <w:uiPriority w:val="39"/>
    <w:rsid w:val="006A631A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6A63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A631A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A631A"/>
    <w:rPr>
      <w:rFonts w:ascii="XO Thames" w:hAnsi="XO Thames"/>
      <w:sz w:val="20"/>
    </w:rPr>
  </w:style>
  <w:style w:type="paragraph" w:customStyle="1" w:styleId="1d">
    <w:name w:val="Обычный1"/>
    <w:link w:val="1e"/>
    <w:rsid w:val="006A631A"/>
    <w:rPr>
      <w:rFonts w:ascii="Times New Roman" w:hAnsi="Times New Roman"/>
      <w:sz w:val="28"/>
    </w:rPr>
  </w:style>
  <w:style w:type="character" w:customStyle="1" w:styleId="1e">
    <w:name w:val="Обычный1"/>
    <w:link w:val="1d"/>
    <w:rsid w:val="006A631A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6A631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A631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A631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A631A"/>
    <w:rPr>
      <w:rFonts w:ascii="XO Thames" w:hAnsi="XO Thames"/>
      <w:sz w:val="28"/>
    </w:rPr>
  </w:style>
  <w:style w:type="paragraph" w:styleId="a6">
    <w:name w:val="header"/>
    <w:basedOn w:val="a"/>
    <w:link w:val="a7"/>
    <w:rsid w:val="006A63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6A631A"/>
  </w:style>
  <w:style w:type="paragraph" w:styleId="51">
    <w:name w:val="toc 5"/>
    <w:next w:val="a"/>
    <w:link w:val="52"/>
    <w:uiPriority w:val="39"/>
    <w:rsid w:val="006A631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A631A"/>
    <w:rPr>
      <w:rFonts w:ascii="XO Thames" w:hAnsi="XO Thames"/>
      <w:sz w:val="28"/>
    </w:rPr>
  </w:style>
  <w:style w:type="paragraph" w:customStyle="1" w:styleId="24">
    <w:name w:val="Гиперссылка2"/>
    <w:link w:val="25"/>
    <w:rsid w:val="006A631A"/>
    <w:rPr>
      <w:color w:val="0000FF"/>
      <w:u w:val="single"/>
    </w:rPr>
  </w:style>
  <w:style w:type="character" w:customStyle="1" w:styleId="25">
    <w:name w:val="Гиперссылка2"/>
    <w:link w:val="24"/>
    <w:rsid w:val="006A631A"/>
    <w:rPr>
      <w:color w:val="0000FF"/>
      <w:u w:val="single"/>
    </w:rPr>
  </w:style>
  <w:style w:type="paragraph" w:styleId="a8">
    <w:name w:val="Subtitle"/>
    <w:next w:val="a"/>
    <w:link w:val="a9"/>
    <w:uiPriority w:val="11"/>
    <w:qFormat/>
    <w:rsid w:val="006A631A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6A631A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rsid w:val="006A631A"/>
    <w:pPr>
      <w:jc w:val="center"/>
    </w:pPr>
    <w:rPr>
      <w:b/>
      <w:sz w:val="24"/>
    </w:rPr>
  </w:style>
  <w:style w:type="character" w:customStyle="1" w:styleId="ab">
    <w:name w:val="Название Знак"/>
    <w:basedOn w:val="1"/>
    <w:link w:val="aa"/>
    <w:rsid w:val="006A631A"/>
    <w:rPr>
      <w:b/>
      <w:sz w:val="24"/>
    </w:rPr>
  </w:style>
  <w:style w:type="character" w:customStyle="1" w:styleId="40">
    <w:name w:val="Заголовок 4 Знак"/>
    <w:link w:val="4"/>
    <w:rsid w:val="006A631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A631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C9CCF18EE490071CB86931CC58B062A65D4756B3AFB34C5E42F076195DC432787775075AECFFFC733B5012DM1c6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2434</Words>
  <Characters>13876</Characters>
  <Application>Microsoft Office Word</Application>
  <DocSecurity>0</DocSecurity>
  <Lines>115</Lines>
  <Paragraphs>32</Paragraphs>
  <ScaleCrop>false</ScaleCrop>
  <Company/>
  <LinksUpToDate>false</LinksUpToDate>
  <CharactersWithSpaces>16278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2023-08-03T05:51:00Z</dcterms:created>
  <dcterms:modified xsi:type="dcterms:W3CDTF">2023-09-18T06:13:00Z</dcterms:modified>
</cp:coreProperties>
</file>