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13" w:rsidRDefault="008F6B13" w:rsidP="008F6B13">
      <w:pPr>
        <w:keepNext/>
        <w:jc w:val="center"/>
        <w:outlineLvl w:val="1"/>
        <w:rPr>
          <w:sz w:val="28"/>
          <w:szCs w:val="20"/>
        </w:rPr>
      </w:pPr>
    </w:p>
    <w:p w:rsidR="008F6B13" w:rsidRPr="008F6B13" w:rsidRDefault="008F6B13" w:rsidP="008F6B13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8F6B13">
        <w:rPr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13" w:rsidRPr="008F6B13" w:rsidRDefault="008F6B13" w:rsidP="008F6B13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6B13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8F6B13" w:rsidRPr="008F6B13" w:rsidRDefault="008F6B13" w:rsidP="008F6B13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6B13">
        <w:rPr>
          <w:rFonts w:ascii="Times New Roman" w:hAnsi="Times New Roman" w:cs="Times New Roman"/>
          <w:color w:val="000000"/>
          <w:sz w:val="28"/>
          <w:szCs w:val="28"/>
        </w:rPr>
        <w:t>АДМИНИСТРАЦИИ  ОРЛОВСКОГО</w:t>
      </w:r>
      <w:proofErr w:type="gramEnd"/>
      <w:r w:rsidRPr="008F6B13"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</w:p>
    <w:p w:rsidR="008F6B13" w:rsidRPr="008F6B13" w:rsidRDefault="008F6B13" w:rsidP="008F6B13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6B13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2C5086" w:rsidRPr="008F6B13" w:rsidRDefault="008F6B13" w:rsidP="008F6B1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13">
        <w:rPr>
          <w:rFonts w:ascii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8F6B13">
        <w:rPr>
          <w:rFonts w:ascii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п. Орловский</w:t>
      </w:r>
    </w:p>
    <w:p w:rsidR="002C5086" w:rsidRPr="00927C5C" w:rsidRDefault="002C5086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оценки эффективности налоговых льгот (налоговых расходов)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</w:p>
    <w:p w:rsidR="002C5086" w:rsidRPr="00927C5C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Pr="00927C5C" w:rsidRDefault="002C5086" w:rsidP="002C5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рловского </w:t>
      </w:r>
      <w:proofErr w:type="gramStart"/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от</w:t>
      </w:r>
      <w:proofErr w:type="gramEnd"/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20.11.2019 №833</w:t>
      </w: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района</w:t>
      </w: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 района</w:t>
      </w: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C5086" w:rsidRPr="00927C5C" w:rsidRDefault="002C5086" w:rsidP="002C5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Pr="008F6B13" w:rsidRDefault="002C5086" w:rsidP="002157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Методику оценки эффективности налоговых льгот (налоговых расходов) </w:t>
      </w:r>
      <w:r w:rsidR="008F6B13"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F6B13" w:rsidRDefault="008F6B13" w:rsidP="00215780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6B1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215780">
        <w:rPr>
          <w:rFonts w:ascii="Times New Roman" w:hAnsi="Times New Roman" w:cs="Times New Roman"/>
          <w:sz w:val="28"/>
          <w:szCs w:val="28"/>
        </w:rPr>
        <w:t>.</w:t>
      </w:r>
    </w:p>
    <w:p w:rsidR="008F6B13" w:rsidRPr="008F6B13" w:rsidRDefault="008F6B13" w:rsidP="00215780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6B13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финансовым отделом</w:t>
      </w:r>
      <w:r w:rsidR="002C5086"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5086" w:rsidRPr="00287488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Лячина</w:t>
      </w:r>
      <w:proofErr w:type="spellEnd"/>
    </w:p>
    <w:p w:rsidR="002C5086" w:rsidRDefault="002C5086" w:rsidP="0021578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109" w:rsidRDefault="00C10109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8B" w:rsidRDefault="0097218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8B" w:rsidRDefault="0097218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C1010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109" w:rsidRPr="006A343D" w:rsidRDefault="001F36B6" w:rsidP="00C1010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F36B6" w:rsidRPr="006A343D" w:rsidRDefault="001F36B6" w:rsidP="001F36B6">
      <w:pPr>
        <w:spacing w:after="0" w:line="240" w:lineRule="auto"/>
        <w:ind w:left="6372" w:firstLine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</w:p>
    <w:p w:rsidR="001F36B6" w:rsidRPr="006A343D" w:rsidRDefault="00215780" w:rsidP="0021578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отдела Администрации Орловского района</w:t>
      </w:r>
    </w:p>
    <w:p w:rsidR="001F36B6" w:rsidRPr="006A343D" w:rsidRDefault="001F36B6" w:rsidP="001F36B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215780" w:rsidRDefault="00215780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B6" w:rsidRDefault="002C5086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налоговых льгот (налоговых расходов</w:t>
      </w:r>
      <w:r w:rsidR="0021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Орловского района</w:t>
      </w:r>
    </w:p>
    <w:p w:rsidR="00513E95" w:rsidRDefault="00513E95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E95" w:rsidRPr="00513E95" w:rsidRDefault="00513E95" w:rsidP="00513E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  <w:r w:rsidRPr="00513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4213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проведения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эффективности налоговых расходов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 xml:space="preserve"> Орловского района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>, 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налоговых 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льгот, предусмотренных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в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24.04.2020 № 239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О понижении ставки единого налога на вмененный доход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>, утвержденной п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>м Администраци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и Орловского района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8D3">
        <w:rPr>
          <w:rFonts w:ascii="Times New Roman" w:eastAsia="Times New Roman" w:hAnsi="Times New Roman" w:cs="Times New Roman"/>
          <w:sz w:val="28"/>
          <w:szCs w:val="28"/>
        </w:rPr>
        <w:t>от 19.11.2018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8D3">
        <w:rPr>
          <w:rFonts w:ascii="Times New Roman" w:eastAsia="Times New Roman" w:hAnsi="Times New Roman" w:cs="Times New Roman"/>
          <w:sz w:val="28"/>
          <w:szCs w:val="28"/>
        </w:rPr>
        <w:t>№ 817</w:t>
      </w:r>
      <w:bookmarkStart w:id="0" w:name="_GoBack"/>
      <w:bookmarkEnd w:id="0"/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ы Орловского района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«Эффективное управление муниципальными финансами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E95" w:rsidRPr="00513E95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Оценка эффективности налоговых расходов</w:t>
      </w:r>
      <w:r w:rsidR="00EE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E95" w:rsidRPr="00513E95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эффективности применяется в отношении следующих налоговых расходов:</w:t>
      </w:r>
    </w:p>
    <w:p w:rsidR="008E52C3" w:rsidRDefault="00513E95" w:rsidP="00F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8E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ставки единого налога в размере 7,5 процента величины вмененного дохода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3541DD" w:rsidRDefault="003541DD" w:rsidP="003541DD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проведения оценки эффективности </w:t>
      </w:r>
      <w:r w:rsidRPr="0035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54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налоговых расходов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541DD" w:rsidRDefault="003541DD" w:rsidP="0035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по предоставляемым налоговым льготам (налоговым расходам) проводится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настоящей методикой оценки эффективности налоговых льгот (налоговых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эффективности налоговых льгот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целесообразности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результативности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Критериями целесообразности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налоговых расходов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налогов предоставленных льгот, которая характеризуется соотношением численности плательщиков налогов, воспользовавшихся правом на льготы, и общей численностью плательщиков, за 5-летний период.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несоответствия налоговых льгот (налоговых </w:t>
      </w:r>
      <w:proofErr w:type="gramStart"/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</w:t>
      </w:r>
      <w:proofErr w:type="gramEnd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бы одному из критериев, указанному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предоставляет Главе Администраци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Орловского района и Главе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 налогов.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критерия результативности налоговых льгот (налоговых расходов)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как минимум один показатель (индикатор)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рловского района «Эффективное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значение которого оказывают влияние налоговые расходы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налоговому расходу:</w:t>
      </w:r>
    </w:p>
    <w:p w:rsidR="00E227B8" w:rsidRDefault="00C36AA4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ставка по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единому налогу на вмененный доход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применяется целевой показатель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индивидуальные предприниматели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развития экономики в условиях распространения </w:t>
      </w:r>
      <w:proofErr w:type="spellStart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C36AA4" w:rsidRDefault="003541DD" w:rsidP="00C36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Оценке подлежит вклад предусмотренных для плательщиков налогов, льгот в изменение значений целевых показателей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 «Эффективное управление муниципальными финансами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2.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который рассчитывается как разница между значением данного показателя с учетом льгот и значением указанного показателя без учета льгот.</w:t>
      </w:r>
    </w:p>
    <w:p w:rsidR="003541DD" w:rsidRPr="003541DD" w:rsidRDefault="00C36AA4" w:rsidP="00C36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результативности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C36AA4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оценки бюджетной эффективности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 «Эффективное управление муниципальными финансами»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C36AA4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Сравнительный анализ включает сравнение объемов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случае применения альтернативных механизмов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муниципальными финансами» 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объемов предоставленных льгот (расчет прироста показателя (индикатора)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Орловск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рубль налоговых расходов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рубль расходов местного 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для достижения того же показателя (индикатора) в случае применения альтернативных механизмов).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достижения целей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муниципальными финансами»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учитываться в том числе: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по обязательствам плательщиков, имеющих право на льготы;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расходов) осуществляется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настоящей Методике.</w:t>
      </w:r>
    </w:p>
    <w:p w:rsidR="00850DD0" w:rsidRDefault="003541DD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Результаты оценки эффективности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="00FE5EC4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расходов)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содержать:</w:t>
      </w:r>
    </w:p>
    <w:p w:rsidR="003541DD" w:rsidRPr="003541DD" w:rsidRDefault="003541DD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вкладе налогового расхода в достижение целей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муниципальными </w:t>
      </w:r>
      <w:proofErr w:type="gramStart"/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целей социально-экономического развития;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наличии или об отсутствии более резул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ьтативных (менее затратных для местного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альтернативных механизмов достижения целей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(или) целей социально-экономического развития.</w:t>
      </w:r>
    </w:p>
    <w:p w:rsidR="00850DD0" w:rsidRDefault="00FE5EC4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Выводы должны отражать, является ли налоговый расход эффективным или неэффективным.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</w:p>
    <w:p w:rsidR="00D271AE" w:rsidRPr="006A343D" w:rsidRDefault="00850DD0" w:rsidP="00231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1AE" w:rsidRPr="006A343D" w:rsidSect="002316F6">
          <w:footerReference w:type="even" r:id="rId8"/>
          <w:footerReference w:type="default" r:id="rId9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2.10.3. 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оценки налоговых расходо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района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Орловского района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«Эффективное управление муниципальными финансами</w:t>
      </w: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7B8" w:rsidRPr="000A55FC" w:rsidRDefault="00E227B8" w:rsidP="002316F6">
      <w:pPr>
        <w:spacing w:before="100" w:beforeAutospacing="1" w:after="100" w:afterAutospacing="1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0A55FC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0A55FC">
        <w:rPr>
          <w:rFonts w:ascii="Times New Roman" w:eastAsia="Times New Roman" w:hAnsi="Times New Roman" w:cs="Times New Roman"/>
          <w:lang w:eastAsia="ru-RU"/>
        </w:rPr>
        <w:br/>
        <w:t>к Методике оценки</w:t>
      </w:r>
      <w:r w:rsidRPr="000A55FC">
        <w:rPr>
          <w:rFonts w:ascii="Times New Roman" w:eastAsia="Times New Roman" w:hAnsi="Times New Roman" w:cs="Times New Roman"/>
          <w:lang w:eastAsia="ru-RU"/>
        </w:rPr>
        <w:br/>
        <w:t xml:space="preserve">эффективности </w:t>
      </w:r>
      <w:r w:rsidR="002316F6" w:rsidRPr="000A55FC">
        <w:rPr>
          <w:rFonts w:ascii="Times New Roman" w:eastAsia="Times New Roman" w:hAnsi="Times New Roman" w:cs="Times New Roman"/>
          <w:lang w:eastAsia="ru-RU"/>
        </w:rPr>
        <w:t>налоговых льгот (</w:t>
      </w:r>
      <w:r w:rsidRPr="000A55FC">
        <w:rPr>
          <w:rFonts w:ascii="Times New Roman" w:eastAsia="Times New Roman" w:hAnsi="Times New Roman" w:cs="Times New Roman"/>
          <w:lang w:eastAsia="ru-RU"/>
        </w:rPr>
        <w:t>налоговых</w:t>
      </w:r>
      <w:r w:rsidRPr="000A55FC">
        <w:rPr>
          <w:rFonts w:ascii="Times New Roman" w:eastAsia="Times New Roman" w:hAnsi="Times New Roman" w:cs="Times New Roman"/>
          <w:lang w:eastAsia="ru-RU"/>
        </w:rPr>
        <w:br/>
        <w:t>расходов</w:t>
      </w:r>
      <w:r w:rsidR="002316F6" w:rsidRPr="000A55FC">
        <w:rPr>
          <w:rFonts w:ascii="Times New Roman" w:eastAsia="Times New Roman" w:hAnsi="Times New Roman" w:cs="Times New Roman"/>
          <w:lang w:eastAsia="ru-RU"/>
        </w:rPr>
        <w:t>)</w:t>
      </w:r>
      <w:r w:rsidRPr="000A55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289" w:rsidRPr="000A55FC">
        <w:rPr>
          <w:rFonts w:ascii="Times New Roman" w:eastAsia="Times New Roman" w:hAnsi="Times New Roman" w:cs="Times New Roman"/>
          <w:lang w:eastAsia="ru-RU"/>
        </w:rPr>
        <w:t>Орловского района</w:t>
      </w:r>
    </w:p>
    <w:p w:rsidR="00E227B8" w:rsidRPr="000A55FC" w:rsidRDefault="002316F6" w:rsidP="00E22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55FC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Результаты оценки эффективности налоговых льгот (налоговых </w:t>
      </w:r>
      <w:proofErr w:type="gramStart"/>
      <w:r w:rsidRPr="000A55FC">
        <w:rPr>
          <w:rFonts w:ascii="Times New Roman" w:eastAsia="Times New Roman" w:hAnsi="Times New Roman" w:cs="Times New Roman"/>
          <w:b/>
          <w:bCs/>
          <w:lang w:eastAsia="ru-RU"/>
        </w:rPr>
        <w:t>расходов)</w:t>
      </w:r>
      <w:r w:rsidR="00E227B8" w:rsidRPr="000A55FC">
        <w:rPr>
          <w:rFonts w:ascii="Times New Roman" w:eastAsia="Times New Roman" w:hAnsi="Times New Roman" w:cs="Times New Roman"/>
          <w:lang w:eastAsia="ru-RU"/>
        </w:rPr>
        <w:br/>
      </w:r>
      <w:r w:rsidR="00E227B8" w:rsidRPr="000A55FC"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  <w:r w:rsidR="00E227B8" w:rsidRPr="000A55FC">
        <w:rPr>
          <w:rFonts w:ascii="Times New Roman" w:eastAsia="Times New Roman" w:hAnsi="Times New Roman" w:cs="Times New Roman"/>
          <w:b/>
          <w:lang w:eastAsia="ru-RU"/>
        </w:rPr>
        <w:t xml:space="preserve"> оцениваемый _________ год </w:t>
      </w:r>
    </w:p>
    <w:p w:rsidR="00E227B8" w:rsidRPr="00E227B8" w:rsidRDefault="00E227B8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Оценка целесообразности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677"/>
        <w:gridCol w:w="1442"/>
        <w:gridCol w:w="1593"/>
        <w:gridCol w:w="1726"/>
        <w:gridCol w:w="2704"/>
      </w:tblGrid>
      <w:tr w:rsidR="00E227B8" w:rsidRPr="000A55FC" w:rsidTr="00E227B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целесообразности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результативности налогового расхода (целесообразен/нецелесообразен)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налогового расхода </w:t>
            </w:r>
            <w:proofErr w:type="gramStart"/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 района</w:t>
            </w:r>
            <w:proofErr w:type="gramEnd"/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целям 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Орловского района «Эффективное управление муниципальными финансами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(соответствует/не соответствует)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289" w:rsidRDefault="00CA7289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0A55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7B8" w:rsidRPr="00E227B8" w:rsidRDefault="00E227B8" w:rsidP="000A55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Оценка результативности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370"/>
        <w:gridCol w:w="1189"/>
        <w:gridCol w:w="1138"/>
        <w:gridCol w:w="938"/>
        <w:gridCol w:w="1088"/>
        <w:gridCol w:w="1304"/>
        <w:gridCol w:w="2137"/>
      </w:tblGrid>
      <w:tr w:rsidR="00E227B8" w:rsidRPr="000A55FC" w:rsidTr="00E227B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0A55FC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0A55FC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целевого показателя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целевого показателя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результативности налогового расхода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 5/гр. 4)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результативности налогового расхода (результативен/нерезультативен) &lt;*&gt;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7B8" w:rsidRPr="00E227B8" w:rsidRDefault="00E227B8" w:rsidP="00E22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E227B8" w:rsidRPr="00E227B8" w:rsidRDefault="00E227B8" w:rsidP="00E22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7B8" w:rsidRPr="00E227B8" w:rsidRDefault="00E227B8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Оценка эффективности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300"/>
        <w:gridCol w:w="1132"/>
        <w:gridCol w:w="1249"/>
        <w:gridCol w:w="1239"/>
        <w:gridCol w:w="1240"/>
        <w:gridCol w:w="1763"/>
        <w:gridCol w:w="1282"/>
      </w:tblGrid>
      <w:tr w:rsidR="000A55FC" w:rsidRPr="000A55FC" w:rsidTr="00E227B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критериев целесообразности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показателей результативности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или отсутствие альтернативных механизмов достижения целей 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Орловского района «Эффективное управление муниципальными финансами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целей социально-экономического развития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налогового расхода (эффективен/неэффективен) &lt;*&gt;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7B8" w:rsidRPr="00E227B8" w:rsidRDefault="00E227B8" w:rsidP="00E227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7D" w:rsidRDefault="00E4267D"/>
    <w:sectPr w:rsidR="00E4267D" w:rsidSect="002316F6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8B" w:rsidRDefault="00E0238B">
      <w:pPr>
        <w:spacing w:after="0" w:line="240" w:lineRule="auto"/>
      </w:pPr>
      <w:r>
        <w:separator/>
      </w:r>
    </w:p>
  </w:endnote>
  <w:endnote w:type="continuationSeparator" w:id="0">
    <w:p w:rsidR="00E0238B" w:rsidRDefault="00E0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BB" w:rsidRDefault="001F36B6" w:rsidP="00EF7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289">
      <w:rPr>
        <w:rStyle w:val="a5"/>
        <w:noProof/>
      </w:rPr>
      <w:t>4</w:t>
    </w:r>
    <w:r>
      <w:rPr>
        <w:rStyle w:val="a5"/>
      </w:rPr>
      <w:fldChar w:fldCharType="end"/>
    </w:r>
  </w:p>
  <w:p w:rsidR="00EF7EBB" w:rsidRDefault="00E023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BB" w:rsidRDefault="00E0238B" w:rsidP="00EF7EBB">
    <w:pPr>
      <w:pStyle w:val="a3"/>
      <w:framePr w:wrap="around" w:vAnchor="text" w:hAnchor="margin" w:xAlign="right" w:y="1"/>
      <w:rPr>
        <w:rStyle w:val="a5"/>
      </w:rPr>
    </w:pPr>
  </w:p>
  <w:p w:rsidR="00EF7EBB" w:rsidRPr="00F81E59" w:rsidRDefault="00E0238B" w:rsidP="00EF7EB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8B" w:rsidRDefault="00E0238B">
      <w:pPr>
        <w:spacing w:after="0" w:line="240" w:lineRule="auto"/>
      </w:pPr>
      <w:r>
        <w:separator/>
      </w:r>
    </w:p>
  </w:footnote>
  <w:footnote w:type="continuationSeparator" w:id="0">
    <w:p w:rsidR="00E0238B" w:rsidRDefault="00E0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20"/>
    <w:rsid w:val="000A55FC"/>
    <w:rsid w:val="0012255B"/>
    <w:rsid w:val="001C6533"/>
    <w:rsid w:val="001F36B6"/>
    <w:rsid w:val="002027F1"/>
    <w:rsid w:val="00215780"/>
    <w:rsid w:val="002316F6"/>
    <w:rsid w:val="0027423C"/>
    <w:rsid w:val="002C5086"/>
    <w:rsid w:val="002C7C73"/>
    <w:rsid w:val="002F47B8"/>
    <w:rsid w:val="003541DD"/>
    <w:rsid w:val="004D5CB1"/>
    <w:rsid w:val="00513E95"/>
    <w:rsid w:val="00606A20"/>
    <w:rsid w:val="00744B2D"/>
    <w:rsid w:val="00770702"/>
    <w:rsid w:val="008318E2"/>
    <w:rsid w:val="00842024"/>
    <w:rsid w:val="00850DD0"/>
    <w:rsid w:val="008E52C3"/>
    <w:rsid w:val="008F6B13"/>
    <w:rsid w:val="0097218B"/>
    <w:rsid w:val="009D28D3"/>
    <w:rsid w:val="00A76D6F"/>
    <w:rsid w:val="00B35121"/>
    <w:rsid w:val="00C10109"/>
    <w:rsid w:val="00C36AA4"/>
    <w:rsid w:val="00CA5500"/>
    <w:rsid w:val="00CA7289"/>
    <w:rsid w:val="00D271AE"/>
    <w:rsid w:val="00D715A4"/>
    <w:rsid w:val="00E0238B"/>
    <w:rsid w:val="00E227B8"/>
    <w:rsid w:val="00E4267D"/>
    <w:rsid w:val="00EA1D20"/>
    <w:rsid w:val="00EE4213"/>
    <w:rsid w:val="00FA5C32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AB3D06-6E24-4A56-82E1-73057AEA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36B6"/>
  </w:style>
  <w:style w:type="character" w:styleId="a5">
    <w:name w:val="page number"/>
    <w:basedOn w:val="a0"/>
    <w:uiPriority w:val="99"/>
    <w:rsid w:val="001F36B6"/>
    <w:rPr>
      <w:rFonts w:cs="Times New Roman"/>
    </w:rPr>
  </w:style>
  <w:style w:type="character" w:styleId="a6">
    <w:name w:val="Hyperlink"/>
    <w:basedOn w:val="a0"/>
    <w:uiPriority w:val="99"/>
    <w:unhideWhenUsed/>
    <w:rsid w:val="001F36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B1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F6B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A578-E90D-4F40-BFD6-B4DA2A3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2020-07-09T11:40:00Z</cp:lastPrinted>
  <dcterms:created xsi:type="dcterms:W3CDTF">2021-08-09T11:53:00Z</dcterms:created>
  <dcterms:modified xsi:type="dcterms:W3CDTF">2021-08-10T06:03:00Z</dcterms:modified>
</cp:coreProperties>
</file>