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13" w:rsidRDefault="008B43D0" w:rsidP="008B43D0">
      <w:pPr>
        <w:pStyle w:val="ConsPlusNormal"/>
        <w:ind w:firstLine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8B43D0" w:rsidRPr="008F6B13" w:rsidRDefault="008B43D0" w:rsidP="008B43D0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8B43D0">
        <w:rPr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B13" w:rsidRPr="008F6B13" w:rsidRDefault="008F6B13" w:rsidP="008F6B13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6B13">
        <w:rPr>
          <w:rFonts w:ascii="Times New Roman" w:hAnsi="Times New Roman" w:cs="Times New Roman"/>
          <w:sz w:val="28"/>
          <w:szCs w:val="28"/>
        </w:rPr>
        <w:t>ФИНАНСОВЫЙ ОТДЕЛ</w:t>
      </w:r>
    </w:p>
    <w:p w:rsidR="008F6B13" w:rsidRPr="008F6B13" w:rsidRDefault="008F6B13" w:rsidP="008F6B13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6B13">
        <w:rPr>
          <w:rFonts w:ascii="Times New Roman" w:hAnsi="Times New Roman" w:cs="Times New Roman"/>
          <w:color w:val="000000"/>
          <w:sz w:val="28"/>
          <w:szCs w:val="28"/>
        </w:rPr>
        <w:t>АДМИНИСТРАЦИИ  ОРЛОВСКОГО  РАЙОНА</w:t>
      </w:r>
    </w:p>
    <w:p w:rsidR="008F6B13" w:rsidRPr="008F6B13" w:rsidRDefault="008F6B13" w:rsidP="008F6B13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6B13">
        <w:rPr>
          <w:rFonts w:ascii="Times New Roman" w:hAnsi="Times New Roman" w:cs="Times New Roman"/>
          <w:sz w:val="28"/>
          <w:szCs w:val="28"/>
        </w:rPr>
        <w:t xml:space="preserve">ПРИКАЗ № </w:t>
      </w:r>
    </w:p>
    <w:p w:rsidR="002C5086" w:rsidRPr="008F6B13" w:rsidRDefault="008F6B13" w:rsidP="008F6B1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B13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п. Орловский</w:t>
      </w:r>
    </w:p>
    <w:p w:rsidR="002C5086" w:rsidRPr="00927C5C" w:rsidRDefault="002C5086" w:rsidP="002C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оценки эффективности налоговых льгот (налоговых расходов)</w:t>
      </w:r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</w:p>
    <w:p w:rsidR="002C5086" w:rsidRPr="00927C5C" w:rsidRDefault="002C5086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Pr="00927C5C" w:rsidRDefault="002C5086" w:rsidP="002C5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рловского района  от 20.11.2019 №833</w:t>
      </w: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формирования перечня налоговых расходо</w:t>
      </w:r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Орловского района</w:t>
      </w:r>
      <w:proofErr w:type="gramEnd"/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налоговых расходо</w:t>
      </w:r>
      <w:r w:rsid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Орловского  района</w:t>
      </w:r>
      <w:r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2ED3" w:rsidRPr="00532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bookmarkStart w:id="0" w:name="_GoBack"/>
      <w:bookmarkEnd w:id="0"/>
    </w:p>
    <w:p w:rsidR="002C5086" w:rsidRPr="00927C5C" w:rsidRDefault="002C5086" w:rsidP="002C50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Pr="008F6B13" w:rsidRDefault="002C5086" w:rsidP="002157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Методику оценки эффективности налоговых льгот (налоговых расходов) </w:t>
      </w:r>
      <w:r w:rsidR="008F6B13" w:rsidRP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8F6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8F6B13" w:rsidRDefault="008F6B13" w:rsidP="00215780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6B13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215780">
        <w:rPr>
          <w:rFonts w:ascii="Times New Roman" w:hAnsi="Times New Roman" w:cs="Times New Roman"/>
          <w:sz w:val="28"/>
          <w:szCs w:val="28"/>
        </w:rPr>
        <w:t>.</w:t>
      </w:r>
    </w:p>
    <w:p w:rsidR="008F6B13" w:rsidRPr="008F6B13" w:rsidRDefault="008F6B13" w:rsidP="00215780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6B13">
        <w:rPr>
          <w:rFonts w:ascii="Times New Roman" w:hAnsi="Times New Roman" w:cs="Times New Roman"/>
          <w:sz w:val="28"/>
          <w:szCs w:val="28"/>
        </w:rPr>
        <w:t>. Контроль за исполнением приказа оставляю за собой.</w:t>
      </w:r>
    </w:p>
    <w:p w:rsidR="008F6B13" w:rsidRPr="008F6B13" w:rsidRDefault="008F6B13" w:rsidP="008F6B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5780" w:rsidRDefault="00215780" w:rsidP="002C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80" w:rsidRDefault="00215780" w:rsidP="002C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80" w:rsidRDefault="00215780" w:rsidP="002C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финансовым отделом</w:t>
      </w:r>
      <w:r w:rsidR="002C5086" w:rsidRPr="00927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5086" w:rsidRPr="00287488" w:rsidRDefault="00215780" w:rsidP="002C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Лячина</w:t>
      </w:r>
      <w:proofErr w:type="spellEnd"/>
    </w:p>
    <w:p w:rsidR="002C5086" w:rsidRDefault="002C5086" w:rsidP="0021578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109" w:rsidRDefault="00C10109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9B" w:rsidRDefault="003C729B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9B" w:rsidRDefault="003C729B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9B" w:rsidRDefault="003C729B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9B" w:rsidRDefault="003C729B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9B" w:rsidRDefault="003C729B" w:rsidP="002C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8B" w:rsidRDefault="0097218B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18B" w:rsidRDefault="0097218B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9B" w:rsidRDefault="003C729B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29B" w:rsidRDefault="003C729B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86" w:rsidRDefault="002C5086" w:rsidP="001F36B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80" w:rsidRDefault="00215780" w:rsidP="00C10109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109" w:rsidRPr="006A343D" w:rsidRDefault="001F36B6" w:rsidP="00C10109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F36B6" w:rsidRPr="006A343D" w:rsidRDefault="001F36B6" w:rsidP="001F36B6">
      <w:pPr>
        <w:spacing w:after="0" w:line="240" w:lineRule="auto"/>
        <w:ind w:left="6372" w:firstLine="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15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</w:t>
      </w:r>
    </w:p>
    <w:p w:rsidR="001F36B6" w:rsidRPr="006A343D" w:rsidRDefault="00215780" w:rsidP="0021578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отдела Администрации Орловского района</w:t>
      </w:r>
    </w:p>
    <w:p w:rsidR="001F36B6" w:rsidRPr="006A343D" w:rsidRDefault="001F36B6" w:rsidP="001F36B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B4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4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215780" w:rsidRDefault="00215780" w:rsidP="002C5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B6" w:rsidRDefault="002C5086" w:rsidP="002C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оценки эффективности налоговых льгот (налоговых расходов</w:t>
      </w:r>
      <w:r w:rsidR="00215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Орловского района</w:t>
      </w:r>
    </w:p>
    <w:p w:rsidR="00513E95" w:rsidRDefault="00513E95" w:rsidP="002C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E95" w:rsidRPr="00513E95" w:rsidRDefault="00513E95" w:rsidP="00513E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  <w:r w:rsidRPr="00513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4213" w:rsidRDefault="00513E95" w:rsidP="0051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715A4">
        <w:rPr>
          <w:rFonts w:ascii="Times New Roman" w:eastAsia="Times New Roman" w:hAnsi="Times New Roman" w:cs="Times New Roman"/>
          <w:sz w:val="28"/>
          <w:szCs w:val="28"/>
        </w:rPr>
        <w:t xml:space="preserve">Настоящая методика определяет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проведения</w:t>
      </w:r>
      <w:r w:rsidRPr="00D715A4">
        <w:rPr>
          <w:rFonts w:ascii="Times New Roman" w:eastAsia="Times New Roman" w:hAnsi="Times New Roman" w:cs="Times New Roman"/>
          <w:sz w:val="28"/>
          <w:szCs w:val="28"/>
        </w:rPr>
        <w:t xml:space="preserve"> оценки эффективности налоговых расходов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 xml:space="preserve"> Орловского района</w:t>
      </w:r>
      <w:r w:rsidRPr="00D715A4">
        <w:rPr>
          <w:rFonts w:ascii="Times New Roman" w:eastAsia="Times New Roman" w:hAnsi="Times New Roman" w:cs="Times New Roman"/>
          <w:sz w:val="28"/>
          <w:szCs w:val="28"/>
        </w:rPr>
        <w:t>, предоставленных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налоговых 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льгот, предусмотренных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в Орловского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24.04.2020 № 239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О понижении ставки единого налога на вмененный доход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>, утвержденной п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>м Администраци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и Орловского района</w:t>
      </w:r>
      <w:r w:rsidR="009D28D3">
        <w:rPr>
          <w:rFonts w:ascii="Times New Roman" w:eastAsia="Times New Roman" w:hAnsi="Times New Roman" w:cs="Times New Roman"/>
          <w:sz w:val="28"/>
          <w:szCs w:val="28"/>
        </w:rPr>
        <w:t>от 19.11.2018№ 817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</w:t>
      </w:r>
      <w:r w:rsidR="00215780">
        <w:rPr>
          <w:rFonts w:ascii="Times New Roman" w:eastAsia="Times New Roman" w:hAnsi="Times New Roman" w:cs="Times New Roman"/>
          <w:sz w:val="28"/>
          <w:szCs w:val="28"/>
        </w:rPr>
        <w:t>ы Орловского района«Эффективное управление муниципальными финансами</w:t>
      </w:r>
      <w:r w:rsidR="00EE4213" w:rsidRPr="00EE42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3E95" w:rsidRPr="00513E95" w:rsidRDefault="00513E95" w:rsidP="0051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Оценка эффективности налоговых расходовпредставляет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 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E95" w:rsidRPr="00513E95" w:rsidRDefault="00513E95" w:rsidP="0051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Оценка эффективности применяется в отношении следующих налоговых расходов:</w:t>
      </w:r>
    </w:p>
    <w:p w:rsidR="008E52C3" w:rsidRDefault="00513E95" w:rsidP="00FA5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95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ставки единого налога в размере 7,5 процента величины вмененного дохода организациям и индивидуальным предпринимателям, занятым в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3541DD" w:rsidRDefault="003541DD" w:rsidP="003541DD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проведения оценки эффективности </w:t>
      </w:r>
      <w:r w:rsidRPr="0035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54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налоговых расходов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541DD" w:rsidRDefault="003541DD" w:rsidP="00354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по предоставляемым налоговым льготам (налоговым расходам) проводится ежегодноАдминистрацие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настоящей методикой оценки эффективности налоговых льгот (налоговых расходов)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эффективности налоговых льгот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целесообразности налоговых льгот (налоговых расходов)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7B8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результативности налоговых льгот (налоговых расходов)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Критериями целесообразности налоговых льгот (налоговых расходов)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налоговых расходов 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FA5C32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района«Эффективное управление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 плательщиками налогов предоставленных льгот, которая характеризуется соотношением численности плательщиков налогов, воспользовавшихся правом на льготы, и общей численностью плательщиков, за 5-летний период.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несоответствия налоговых льгот (налоговых расходов</w:t>
      </w:r>
      <w:proofErr w:type="gramStart"/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бы одному из критериев, указанному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предоставляет Главе Администраци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Орловского района и Главе 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сохранении (уточнении, отмене) льгот для плательщиков налогов.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критерия результативности налоговых льгот (налоговых расходов)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как минимум один показатель (индикатор)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рловского района «Эффективное управление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значение которого оказывают влияние налоговые расходы 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налоговому расходу:</w:t>
      </w:r>
    </w:p>
    <w:p w:rsidR="00E227B8" w:rsidRDefault="00C36AA4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пониженная ставка по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единому налогу на вмененный доход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применяется целевой показатель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индивидуальные предприниматели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получивших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и </w:t>
      </w:r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устойчивость развития экономики в условиях распространения </w:t>
      </w:r>
      <w:proofErr w:type="spellStart"/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2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C36AA4" w:rsidRDefault="003541DD" w:rsidP="00C36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Оценке подлежит вклад предусмотренных для плательщиков налогов, льгот в изменение значений целевых показателей 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 «Эффективное управление муниципальными финансами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2.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который рассчитывается как разница между значением данного показателя с учетом льгот и значением указанного показателя без учета льгот.</w:t>
      </w:r>
    </w:p>
    <w:p w:rsidR="003541DD" w:rsidRPr="003541DD" w:rsidRDefault="00C36AA4" w:rsidP="00C36A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результативности налоговых расходов 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оценку бюджетной эффективности налоговых расходов 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C36AA4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оценки бюджетной эффективности налоговых расходов 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P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 «Эффективное управление муниципальными финансами»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1DD" w:rsidRPr="003541DD" w:rsidRDefault="00C36AA4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Сравнительный анализ включает сравнение объемов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случае применения альтернативных механизмов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муниципальными финансами» 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объемов предоставленных льгот (расчет прироста показателя (индикатора)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Орловск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муниципальными финансами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1 рубль налоговых расходов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рубль расходов местного 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для достижения того же показателя (индикатора) в случае применения альтернативных механизмов).</w:t>
      </w:r>
    </w:p>
    <w:p w:rsidR="00E227B8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альтернативных механизмов достижения целей 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</w:t>
      </w:r>
      <w:r w:rsidR="00C3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управление муниципальными финансами»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учитываться в том числе:</w:t>
      </w:r>
    </w:p>
    <w:p w:rsidR="003541DD" w:rsidRPr="003541DD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по обязательствам плательщиков, имеющих право на льготы;</w:t>
      </w:r>
    </w:p>
    <w:p w:rsidR="00E227B8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541DD" w:rsidRPr="003541DD" w:rsidRDefault="003541DD" w:rsidP="00E2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расходов) осуществляется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к настоящей Методике.</w:t>
      </w:r>
    </w:p>
    <w:p w:rsidR="00850DD0" w:rsidRDefault="003541DD" w:rsidP="00850D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Результаты оценки эффективности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</w:t>
      </w:r>
      <w:r w:rsidR="00FE5EC4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расходов)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содержать:</w:t>
      </w:r>
    </w:p>
    <w:p w:rsidR="003541DD" w:rsidRPr="003541DD" w:rsidRDefault="003541DD" w:rsidP="00850D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достижении целевых характеристик (критериев целесообразности) налогового расхода;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о вкладе налогового расхода в достижение целей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муниципальными финансами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целей социально-экономического развития;</w:t>
      </w:r>
    </w:p>
    <w:p w:rsidR="003541DD" w:rsidRPr="003541DD" w:rsidRDefault="003541DD" w:rsidP="003541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наличии или об отсутствии более резул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ьтативных (менее затратных для местного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бюджета) альтернативных механизмов достижения целей </w:t>
      </w:r>
      <w:r w:rsidR="00FE5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(или) целей социально-экономического развития.</w:t>
      </w:r>
    </w:p>
    <w:p w:rsidR="00850DD0" w:rsidRDefault="00FE5EC4" w:rsidP="00850D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3541DD" w:rsidRPr="003541D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Выводы должны отражать, является ли налоговый расход эффективным или неэффективным. По итогам оценки эффективности формируется вывод о необходимости сохранения, уточнения или отмене налоговых льгот, обуславливающих налоговые расходы.</w:t>
      </w:r>
    </w:p>
    <w:p w:rsidR="00D271AE" w:rsidRPr="006A343D" w:rsidRDefault="00850DD0" w:rsidP="002316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71AE" w:rsidRPr="006A343D" w:rsidSect="002316F6">
          <w:footerReference w:type="even" r:id="rId8"/>
          <w:footerReference w:type="default" r:id="rId9"/>
          <w:pgSz w:w="11906" w:h="16838" w:code="9"/>
          <w:pgMar w:top="709" w:right="851" w:bottom="1134" w:left="1304" w:header="709" w:footer="709" w:gutter="0"/>
          <w:cols w:space="708"/>
          <w:titlePg/>
          <w:docGrid w:linePitch="360"/>
        </w:sectPr>
      </w:pPr>
      <w:r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2.10.3. </w:t>
      </w:r>
      <w:r w:rsidR="001F36B6"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оценки налоговых расходо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Орловского района</w:t>
      </w:r>
      <w:r w:rsidR="001F36B6"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при формировании основных направлений бюджетной и налоговой политик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Орловского района</w:t>
      </w:r>
      <w:r w:rsidR="001F36B6"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проведении оценки эффективности реализации </w:t>
      </w:r>
      <w:r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</w:t>
      </w:r>
      <w:r w:rsidR="00CA7289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Орловского района«Эффективное управление муниципальными финансами</w:t>
      </w:r>
      <w:r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6B6" w:rsidRPr="00850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7B8" w:rsidRPr="000A55FC" w:rsidRDefault="00E227B8" w:rsidP="002316F6">
      <w:pPr>
        <w:spacing w:before="100" w:beforeAutospacing="1" w:after="100" w:afterAutospacing="1" w:line="240" w:lineRule="auto"/>
        <w:ind w:left="6096"/>
        <w:rPr>
          <w:rFonts w:ascii="Times New Roman" w:eastAsia="Times New Roman" w:hAnsi="Times New Roman" w:cs="Times New Roman"/>
          <w:lang w:eastAsia="ru-RU"/>
        </w:rPr>
      </w:pPr>
      <w:r w:rsidRPr="000A55FC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Pr="000A55FC">
        <w:rPr>
          <w:rFonts w:ascii="Times New Roman" w:eastAsia="Times New Roman" w:hAnsi="Times New Roman" w:cs="Times New Roman"/>
          <w:lang w:eastAsia="ru-RU"/>
        </w:rPr>
        <w:br/>
        <w:t>к Методике оценки</w:t>
      </w:r>
      <w:r w:rsidRPr="000A55FC">
        <w:rPr>
          <w:rFonts w:ascii="Times New Roman" w:eastAsia="Times New Roman" w:hAnsi="Times New Roman" w:cs="Times New Roman"/>
          <w:lang w:eastAsia="ru-RU"/>
        </w:rPr>
        <w:br/>
        <w:t xml:space="preserve">эффективности </w:t>
      </w:r>
      <w:r w:rsidR="002316F6" w:rsidRPr="000A55FC">
        <w:rPr>
          <w:rFonts w:ascii="Times New Roman" w:eastAsia="Times New Roman" w:hAnsi="Times New Roman" w:cs="Times New Roman"/>
          <w:lang w:eastAsia="ru-RU"/>
        </w:rPr>
        <w:t>налоговых льгот (</w:t>
      </w:r>
      <w:r w:rsidRPr="000A55FC">
        <w:rPr>
          <w:rFonts w:ascii="Times New Roman" w:eastAsia="Times New Roman" w:hAnsi="Times New Roman" w:cs="Times New Roman"/>
          <w:lang w:eastAsia="ru-RU"/>
        </w:rPr>
        <w:t>налоговых</w:t>
      </w:r>
      <w:r w:rsidRPr="000A55FC">
        <w:rPr>
          <w:rFonts w:ascii="Times New Roman" w:eastAsia="Times New Roman" w:hAnsi="Times New Roman" w:cs="Times New Roman"/>
          <w:lang w:eastAsia="ru-RU"/>
        </w:rPr>
        <w:br/>
        <w:t>расходов</w:t>
      </w:r>
      <w:r w:rsidR="002316F6" w:rsidRPr="000A55FC">
        <w:rPr>
          <w:rFonts w:ascii="Times New Roman" w:eastAsia="Times New Roman" w:hAnsi="Times New Roman" w:cs="Times New Roman"/>
          <w:lang w:eastAsia="ru-RU"/>
        </w:rPr>
        <w:t>)</w:t>
      </w:r>
      <w:r w:rsidR="00CA7289" w:rsidRPr="000A55FC">
        <w:rPr>
          <w:rFonts w:ascii="Times New Roman" w:eastAsia="Times New Roman" w:hAnsi="Times New Roman" w:cs="Times New Roman"/>
          <w:lang w:eastAsia="ru-RU"/>
        </w:rPr>
        <w:t>Орловского района</w:t>
      </w:r>
    </w:p>
    <w:p w:rsidR="00E227B8" w:rsidRPr="000A55FC" w:rsidRDefault="002316F6" w:rsidP="00E22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55FC">
        <w:rPr>
          <w:rFonts w:ascii="Times New Roman" w:eastAsia="Times New Roman" w:hAnsi="Times New Roman" w:cs="Times New Roman"/>
          <w:b/>
          <w:bCs/>
          <w:lang w:eastAsia="ru-RU"/>
        </w:rPr>
        <w:t>Результаты оценки эффективности налоговых льгот (налоговых расходов)</w:t>
      </w:r>
      <w:r w:rsidR="00E227B8" w:rsidRPr="000A55FC">
        <w:rPr>
          <w:rFonts w:ascii="Times New Roman" w:eastAsia="Times New Roman" w:hAnsi="Times New Roman" w:cs="Times New Roman"/>
          <w:lang w:eastAsia="ru-RU"/>
        </w:rPr>
        <w:br/>
      </w:r>
      <w:r w:rsidR="00E227B8" w:rsidRPr="000A55FC">
        <w:rPr>
          <w:rFonts w:ascii="Times New Roman" w:eastAsia="Times New Roman" w:hAnsi="Times New Roman" w:cs="Times New Roman"/>
          <w:b/>
          <w:lang w:eastAsia="ru-RU"/>
        </w:rPr>
        <w:t xml:space="preserve">за оцениваемый _________ год </w:t>
      </w:r>
    </w:p>
    <w:p w:rsidR="00E227B8" w:rsidRPr="00E227B8" w:rsidRDefault="00E227B8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Оценка целесообразности налогового расхода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1696"/>
        <w:gridCol w:w="1457"/>
        <w:gridCol w:w="1611"/>
        <w:gridCol w:w="1745"/>
        <w:gridCol w:w="2736"/>
      </w:tblGrid>
      <w:tr w:rsidR="00E227B8" w:rsidRPr="000A55FC" w:rsidTr="00E227B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231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налогового расхода </w:t>
            </w:r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реквизиты нормативного правового акта </w:t>
            </w:r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устанавливающего налоговый расход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целесообразности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результативности налогового расхода (целесообразен/нецелесообразен)</w:t>
            </w: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231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налогового расхода </w:t>
            </w:r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целям </w:t>
            </w:r>
            <w:r w:rsidR="002316F6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</w:t>
            </w:r>
            <w:r w:rsidR="00CA7289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Орловского района «Эффективное управление муниципальными финансами</w:t>
            </w:r>
            <w:r w:rsidR="002316F6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соответствует)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7289" w:rsidRDefault="00CA7289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0A55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27B8" w:rsidRPr="00E227B8" w:rsidRDefault="00E227B8" w:rsidP="000A55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Оценка результативности налогового расхода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1386"/>
        <w:gridCol w:w="1202"/>
        <w:gridCol w:w="1150"/>
        <w:gridCol w:w="947"/>
        <w:gridCol w:w="1099"/>
        <w:gridCol w:w="1319"/>
        <w:gridCol w:w="2164"/>
      </w:tblGrid>
      <w:tr w:rsidR="00E227B8" w:rsidRPr="000A55FC" w:rsidTr="00E227B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231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налогового расхода </w:t>
            </w:r>
            <w:r w:rsidR="000A55FC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реквизиты нормативного правового акта </w:t>
            </w:r>
            <w:r w:rsidR="000A55FC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устанавливающего налоговый расход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целевого показателя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целевого показателя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результативности налогового расхода </w:t>
            </w:r>
          </w:p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(гр. 5/гр. 4)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результативности налогового расхода (результативен/нерезультативен) &lt;*&gt;</w:t>
            </w:r>
          </w:p>
        </w:tc>
      </w:tr>
      <w:tr w:rsidR="00E227B8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E227B8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7B8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7B8" w:rsidRPr="00E227B8" w:rsidRDefault="00E227B8" w:rsidP="00E22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E227B8" w:rsidRPr="00E227B8" w:rsidRDefault="00E227B8" w:rsidP="00E22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55FC" w:rsidRDefault="000A55FC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27B8" w:rsidRPr="00E227B8" w:rsidRDefault="00E227B8" w:rsidP="00E227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Оценка эффективности налогового расхода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1315"/>
        <w:gridCol w:w="1144"/>
        <w:gridCol w:w="1263"/>
        <w:gridCol w:w="1253"/>
        <w:gridCol w:w="1254"/>
        <w:gridCol w:w="1785"/>
        <w:gridCol w:w="1296"/>
      </w:tblGrid>
      <w:tr w:rsidR="000A55FC" w:rsidRPr="000A55FC" w:rsidTr="00E227B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5FC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231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налогового расхода </w:t>
            </w:r>
            <w:r w:rsid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реквизиты нормативного правового акта </w:t>
            </w:r>
            <w:r w:rsid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Орловского района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устанавливающего налоговый расход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критериев целесообразности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показателей результативности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или отсутствие альтернативных механизмов достижения целей </w:t>
            </w:r>
            <w:r w:rsidR="002316F6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Орловского района «Эффективное управление муниципальными финансами</w:t>
            </w:r>
            <w:r w:rsidR="002316F6"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целей социально-экономического развития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налогового расхода (эффективен/неэффективен) &lt;*&gt;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 о необходимости сохранения, уточнения или отмены налоговой льготы, обуславливающей налоговый расход </w:t>
            </w:r>
          </w:p>
        </w:tc>
      </w:tr>
      <w:tr w:rsidR="000A55FC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0A55FC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5FC" w:rsidRPr="000A55FC" w:rsidTr="00E227B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27B8" w:rsidRPr="000A55FC" w:rsidRDefault="00E227B8" w:rsidP="00E2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7B8" w:rsidRPr="00E227B8" w:rsidRDefault="00E227B8" w:rsidP="00E227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7D" w:rsidRDefault="00E4267D"/>
    <w:sectPr w:rsidR="00E4267D" w:rsidSect="002316F6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49" w:rsidRDefault="001E7849">
      <w:pPr>
        <w:spacing w:after="0" w:line="240" w:lineRule="auto"/>
      </w:pPr>
      <w:r>
        <w:separator/>
      </w:r>
    </w:p>
  </w:endnote>
  <w:endnote w:type="continuationSeparator" w:id="1">
    <w:p w:rsidR="001E7849" w:rsidRDefault="001E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BB" w:rsidRDefault="001B3427" w:rsidP="00EF7E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36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289">
      <w:rPr>
        <w:rStyle w:val="a5"/>
        <w:noProof/>
      </w:rPr>
      <w:t>4</w:t>
    </w:r>
    <w:r>
      <w:rPr>
        <w:rStyle w:val="a5"/>
      </w:rPr>
      <w:fldChar w:fldCharType="end"/>
    </w:r>
  </w:p>
  <w:p w:rsidR="00EF7EBB" w:rsidRDefault="008B43D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BB" w:rsidRDefault="008B43D0" w:rsidP="00EF7EBB">
    <w:pPr>
      <w:pStyle w:val="a3"/>
      <w:framePr w:wrap="around" w:vAnchor="text" w:hAnchor="margin" w:xAlign="right" w:y="1"/>
      <w:rPr>
        <w:rStyle w:val="a5"/>
      </w:rPr>
    </w:pPr>
  </w:p>
  <w:p w:rsidR="00EF7EBB" w:rsidRPr="00F81E59" w:rsidRDefault="008B43D0" w:rsidP="00EF7EBB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49" w:rsidRDefault="001E7849">
      <w:pPr>
        <w:spacing w:after="0" w:line="240" w:lineRule="auto"/>
      </w:pPr>
      <w:r>
        <w:separator/>
      </w:r>
    </w:p>
  </w:footnote>
  <w:footnote w:type="continuationSeparator" w:id="1">
    <w:p w:rsidR="001E7849" w:rsidRDefault="001E7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A20"/>
    <w:rsid w:val="000A55FC"/>
    <w:rsid w:val="0012255B"/>
    <w:rsid w:val="001B3427"/>
    <w:rsid w:val="001C6533"/>
    <w:rsid w:val="001E7849"/>
    <w:rsid w:val="001F36B6"/>
    <w:rsid w:val="002027F1"/>
    <w:rsid w:val="00215780"/>
    <w:rsid w:val="002316F6"/>
    <w:rsid w:val="0027423C"/>
    <w:rsid w:val="002C5086"/>
    <w:rsid w:val="002C7C73"/>
    <w:rsid w:val="002F47B8"/>
    <w:rsid w:val="003541DD"/>
    <w:rsid w:val="003C729B"/>
    <w:rsid w:val="004D5CB1"/>
    <w:rsid w:val="00513E95"/>
    <w:rsid w:val="00532ED3"/>
    <w:rsid w:val="00606A20"/>
    <w:rsid w:val="00744B2D"/>
    <w:rsid w:val="00770702"/>
    <w:rsid w:val="008318E2"/>
    <w:rsid w:val="00842024"/>
    <w:rsid w:val="00850DD0"/>
    <w:rsid w:val="008B43D0"/>
    <w:rsid w:val="008E52C3"/>
    <w:rsid w:val="008F6B13"/>
    <w:rsid w:val="0097218B"/>
    <w:rsid w:val="009D28D3"/>
    <w:rsid w:val="00A76D6F"/>
    <w:rsid w:val="00B35121"/>
    <w:rsid w:val="00C10109"/>
    <w:rsid w:val="00C36AA4"/>
    <w:rsid w:val="00CA5500"/>
    <w:rsid w:val="00CA7289"/>
    <w:rsid w:val="00D271AE"/>
    <w:rsid w:val="00D715A4"/>
    <w:rsid w:val="00E0238B"/>
    <w:rsid w:val="00E227B8"/>
    <w:rsid w:val="00E4267D"/>
    <w:rsid w:val="00EA1D20"/>
    <w:rsid w:val="00EE4213"/>
    <w:rsid w:val="00FA5C32"/>
    <w:rsid w:val="00FE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36B6"/>
  </w:style>
  <w:style w:type="character" w:styleId="a5">
    <w:name w:val="page number"/>
    <w:basedOn w:val="a0"/>
    <w:uiPriority w:val="99"/>
    <w:rsid w:val="001F36B6"/>
    <w:rPr>
      <w:rFonts w:cs="Times New Roman"/>
    </w:rPr>
  </w:style>
  <w:style w:type="character" w:styleId="a6">
    <w:name w:val="Hyperlink"/>
    <w:basedOn w:val="a0"/>
    <w:uiPriority w:val="99"/>
    <w:unhideWhenUsed/>
    <w:rsid w:val="001F36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6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B1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8F6B1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FB62-9A6B-41E6-A47A-16B32C31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2020-07-09T11:40:00Z</cp:lastPrinted>
  <dcterms:created xsi:type="dcterms:W3CDTF">2022-02-02T12:38:00Z</dcterms:created>
  <dcterms:modified xsi:type="dcterms:W3CDTF">2022-02-02T12:38:00Z</dcterms:modified>
</cp:coreProperties>
</file>